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02724" w14:textId="77777777" w:rsidR="00A86677" w:rsidRDefault="00000000">
      <w:pPr>
        <w:spacing w:after="0"/>
        <w:ind w:right="71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69CA638C" w14:textId="77777777" w:rsidR="00A86677" w:rsidRDefault="00000000">
      <w:pPr>
        <w:spacing w:after="0"/>
        <w:ind w:right="69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1459D90A" w14:textId="77777777" w:rsidR="00A86677" w:rsidRDefault="00000000">
      <w:pPr>
        <w:spacing w:after="0"/>
        <w:ind w:left="0" w:right="2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86677" w14:paraId="76AAD23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0CAE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43F4" w14:textId="162EB5C4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4C4A83">
              <w:rPr>
                <w:rFonts w:ascii="Calibri" w:eastAsia="Calibri" w:hAnsi="Calibri" w:cs="Calibri"/>
                <w:sz w:val="22"/>
              </w:rPr>
              <w:t>6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4C4A83">
              <w:rPr>
                <w:rFonts w:ascii="Calibri" w:eastAsia="Calibri" w:hAnsi="Calibri" w:cs="Calibri"/>
                <w:sz w:val="22"/>
              </w:rPr>
              <w:t>-06-</w:t>
            </w:r>
            <w:r>
              <w:rPr>
                <w:rFonts w:ascii="Calibri" w:eastAsia="Calibri" w:hAnsi="Calibri" w:cs="Calibri"/>
                <w:sz w:val="22"/>
              </w:rPr>
              <w:t xml:space="preserve"> 2025 </w:t>
            </w:r>
          </w:p>
        </w:tc>
      </w:tr>
      <w:tr w:rsidR="00A86677" w14:paraId="2A88D81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6085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8324" w14:textId="7AD8C154" w:rsidR="00A86677" w:rsidRDefault="00B83E99">
            <w:pPr>
              <w:spacing w:after="0"/>
              <w:ind w:left="0" w:firstLine="0"/>
            </w:pPr>
            <w:r w:rsidRPr="00B83E99">
              <w:t>LTVIP2025TMID49207</w:t>
            </w:r>
          </w:p>
        </w:tc>
      </w:tr>
      <w:tr w:rsidR="00A86677" w14:paraId="464F17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C64A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0036" w14:textId="59DBC138" w:rsidR="00A86677" w:rsidRDefault="004C4A83">
            <w:pPr>
              <w:spacing w:after="0"/>
              <w:ind w:left="0" w:firstLine="0"/>
            </w:pPr>
            <w:r w:rsidRPr="004C4A83">
              <w:t>Measuring the Pulse of Prosperity: An Index of Economic Freedom Analysis</w:t>
            </w:r>
          </w:p>
        </w:tc>
      </w:tr>
      <w:tr w:rsidR="00A86677" w14:paraId="47B60A91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654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07B8" w14:textId="77777777" w:rsidR="00A86677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2DC025BB" w14:textId="77777777" w:rsidR="00A86677" w:rsidRDefault="00000000">
      <w:pPr>
        <w:spacing w:after="177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F745498" w14:textId="77777777" w:rsidR="00A86677" w:rsidRDefault="00000000">
      <w:pPr>
        <w:spacing w:after="160"/>
        <w:ind w:left="-5"/>
      </w:pPr>
      <w:r>
        <w:rPr>
          <w:b/>
        </w:rPr>
        <w:t xml:space="preserve">Solution Architecture: </w:t>
      </w:r>
    </w:p>
    <w:p w14:paraId="6CDE2701" w14:textId="77777777" w:rsidR="00A86677" w:rsidRDefault="00000000">
      <w:r>
        <w:t xml:space="preserve">Solution architecture is a structured discipline that aligns business objectives with technology capabilities to address complex problems effectively. In this project, the solution architecture provides a blueprint for building a transparent, reliable, and scalable system to measure and </w:t>
      </w:r>
      <w:proofErr w:type="spellStart"/>
      <w:r>
        <w:t>analyze</w:t>
      </w:r>
      <w:proofErr w:type="spellEnd"/>
      <w:r>
        <w:t xml:space="preserve"> economic freedom as a driver of prosperity. </w:t>
      </w:r>
    </w:p>
    <w:p w14:paraId="218B3EC3" w14:textId="77777777" w:rsidR="00A86677" w:rsidRDefault="00000000">
      <w:pPr>
        <w:spacing w:after="211"/>
      </w:pPr>
      <w:r>
        <w:t xml:space="preserve">The architecture covers the complete flow — from data collection to insight generation — to ensure the Economic Freedom Index is accurate, reproducible, and meaningful for policymakers and researchers. </w:t>
      </w:r>
    </w:p>
    <w:p w14:paraId="75F379CE" w14:textId="77777777" w:rsidR="00A86677" w:rsidRDefault="00000000">
      <w:pPr>
        <w:spacing w:after="108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C09933" wp14:editId="77C1E189">
                <wp:extent cx="5733034" cy="20193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3579" name="Shape 357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9" style="width:451.42pt;height:1.58997pt;mso-position-horizontal-relative:char;mso-position-vertical-relative:line" coordsize="57330,201">
                <v:shape id="Shape 358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58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59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9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9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9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59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894D22B" w14:textId="77777777" w:rsidR="00A86677" w:rsidRDefault="00000000">
      <w:pPr>
        <w:spacing w:after="160"/>
        <w:ind w:left="-5"/>
      </w:pPr>
      <w:r>
        <w:rPr>
          <w:b/>
        </w:rPr>
        <w:t xml:space="preserve">Architecture Components </w:t>
      </w:r>
    </w:p>
    <w:p w14:paraId="204F78B1" w14:textId="77777777" w:rsidR="00A86677" w:rsidRDefault="00000000">
      <w:pPr>
        <w:pStyle w:val="Heading1"/>
        <w:ind w:left="253" w:hanging="268"/>
      </w:pPr>
      <w:r>
        <w:t xml:space="preserve">Data Sources </w:t>
      </w:r>
    </w:p>
    <w:p w14:paraId="23D5D334" w14:textId="77777777" w:rsidR="00A86677" w:rsidRDefault="00000000">
      <w:pPr>
        <w:numPr>
          <w:ilvl w:val="0"/>
          <w:numId w:val="1"/>
        </w:numPr>
        <w:ind w:hanging="360"/>
      </w:pPr>
      <w:r>
        <w:t xml:space="preserve">Primary economic indicators (GDP, regulatory burden, tax freedom, property rights, trade freedom, etc.) </w:t>
      </w:r>
    </w:p>
    <w:p w14:paraId="5D142E82" w14:textId="77777777" w:rsidR="00A86677" w:rsidRDefault="00000000">
      <w:pPr>
        <w:numPr>
          <w:ilvl w:val="0"/>
          <w:numId w:val="1"/>
        </w:numPr>
        <w:ind w:hanging="360"/>
      </w:pPr>
      <w:r>
        <w:t xml:space="preserve">Publicly available databases (World Bank, IMF, OECD, Heritage Foundation) </w:t>
      </w:r>
    </w:p>
    <w:p w14:paraId="6A49090A" w14:textId="77777777" w:rsidR="00A86677" w:rsidRDefault="00000000">
      <w:pPr>
        <w:numPr>
          <w:ilvl w:val="0"/>
          <w:numId w:val="1"/>
        </w:numPr>
        <w:ind w:hanging="360"/>
      </w:pPr>
      <w:r>
        <w:t xml:space="preserve">National statistical agencies </w:t>
      </w:r>
    </w:p>
    <w:p w14:paraId="0EECC058" w14:textId="77777777" w:rsidR="00A86677" w:rsidRDefault="00000000">
      <w:pPr>
        <w:pStyle w:val="Heading1"/>
        <w:ind w:left="253" w:hanging="268"/>
      </w:pPr>
      <w:r>
        <w:t xml:space="preserve">Data Ingestion </w:t>
      </w:r>
    </w:p>
    <w:p w14:paraId="2B9B9F2D" w14:textId="77777777" w:rsidR="00A86677" w:rsidRDefault="00000000">
      <w:pPr>
        <w:numPr>
          <w:ilvl w:val="0"/>
          <w:numId w:val="2"/>
        </w:numPr>
        <w:ind w:hanging="360"/>
      </w:pPr>
      <w:r>
        <w:t xml:space="preserve">Automated ETL (Extract, Transform, Load) pipelines built using tools like Apache Airflow, Talend, or custom Python scripts </w:t>
      </w:r>
    </w:p>
    <w:p w14:paraId="0C364576" w14:textId="77777777" w:rsidR="00A86677" w:rsidRDefault="00000000">
      <w:pPr>
        <w:numPr>
          <w:ilvl w:val="0"/>
          <w:numId w:val="2"/>
        </w:numPr>
        <w:ind w:hanging="360"/>
      </w:pPr>
      <w:r>
        <w:t xml:space="preserve">Scheduled data refresh to ensure consistency and up-to-date information </w:t>
      </w:r>
    </w:p>
    <w:p w14:paraId="1913779E" w14:textId="77777777" w:rsidR="00A86677" w:rsidRDefault="00000000">
      <w:pPr>
        <w:pStyle w:val="Heading1"/>
        <w:ind w:left="253" w:hanging="268"/>
      </w:pPr>
      <w:r>
        <w:t xml:space="preserve">Data Storage </w:t>
      </w:r>
    </w:p>
    <w:p w14:paraId="1AE0A146" w14:textId="77777777" w:rsidR="00A86677" w:rsidRDefault="00000000">
      <w:pPr>
        <w:numPr>
          <w:ilvl w:val="0"/>
          <w:numId w:val="3"/>
        </w:numPr>
        <w:ind w:hanging="360"/>
      </w:pPr>
      <w:r>
        <w:t xml:space="preserve">Cloud-based data warehouse solutions (AWS Redshift, Google </w:t>
      </w:r>
      <w:proofErr w:type="spellStart"/>
      <w:r>
        <w:t>BigQuery</w:t>
      </w:r>
      <w:proofErr w:type="spellEnd"/>
      <w:r>
        <w:t xml:space="preserve">, or Azure Synapse) </w:t>
      </w:r>
    </w:p>
    <w:p w14:paraId="3697A8BC" w14:textId="77777777" w:rsidR="00A86677" w:rsidRDefault="00000000">
      <w:pPr>
        <w:numPr>
          <w:ilvl w:val="0"/>
          <w:numId w:val="3"/>
        </w:numPr>
        <w:ind w:hanging="360"/>
      </w:pPr>
      <w:r>
        <w:t xml:space="preserve">Structured schema supporting efficient querying, secure storage, and scalability </w:t>
      </w:r>
    </w:p>
    <w:p w14:paraId="733117E0" w14:textId="77777777" w:rsidR="00A86677" w:rsidRDefault="00000000">
      <w:pPr>
        <w:pStyle w:val="Heading1"/>
        <w:ind w:left="253" w:hanging="268"/>
      </w:pPr>
      <w:r>
        <w:t xml:space="preserve">Data Processing &amp; Transformation </w:t>
      </w:r>
    </w:p>
    <w:p w14:paraId="3D6DD593" w14:textId="77777777" w:rsidR="00A86677" w:rsidRDefault="00000000">
      <w:pPr>
        <w:numPr>
          <w:ilvl w:val="0"/>
          <w:numId w:val="4"/>
        </w:numPr>
        <w:ind w:hanging="360"/>
      </w:pPr>
      <w:r>
        <w:t xml:space="preserve">Data cleaning: remove inconsistencies, handle missing values, and standardize indicators </w:t>
      </w:r>
    </w:p>
    <w:p w14:paraId="39A74324" w14:textId="77777777" w:rsidR="00A86677" w:rsidRDefault="00000000">
      <w:pPr>
        <w:numPr>
          <w:ilvl w:val="0"/>
          <w:numId w:val="4"/>
        </w:numPr>
        <w:ind w:hanging="360"/>
      </w:pPr>
      <w:r>
        <w:lastRenderedPageBreak/>
        <w:t xml:space="preserve">Data enrichment: apply weights, normalization, and scoring to build the Economic Freedom Index </w:t>
      </w:r>
    </w:p>
    <w:p w14:paraId="60C794A4" w14:textId="77777777" w:rsidR="00A86677" w:rsidRDefault="00000000">
      <w:pPr>
        <w:numPr>
          <w:ilvl w:val="0"/>
          <w:numId w:val="4"/>
        </w:numPr>
        <w:ind w:hanging="360"/>
      </w:pPr>
      <w:r>
        <w:t xml:space="preserve">Feature engineering: design derived metrics for deeper insights </w:t>
      </w:r>
    </w:p>
    <w:p w14:paraId="639E4C3D" w14:textId="77777777" w:rsidR="00A86677" w:rsidRDefault="00000000">
      <w:pPr>
        <w:pStyle w:val="Heading1"/>
        <w:ind w:left="253" w:hanging="268"/>
      </w:pPr>
      <w:r>
        <w:t xml:space="preserve">Analytics Layer </w:t>
      </w:r>
    </w:p>
    <w:p w14:paraId="4ADFB93E" w14:textId="77777777" w:rsidR="00A86677" w:rsidRDefault="00000000">
      <w:pPr>
        <w:numPr>
          <w:ilvl w:val="0"/>
          <w:numId w:val="5"/>
        </w:numPr>
        <w:ind w:hanging="360"/>
      </w:pPr>
      <w:r>
        <w:t xml:space="preserve">Statistical </w:t>
      </w:r>
      <w:proofErr w:type="spellStart"/>
      <w:r>
        <w:t>modeling</w:t>
      </w:r>
      <w:proofErr w:type="spellEnd"/>
      <w:r>
        <w:t xml:space="preserve"> (regressions, clustering) </w:t>
      </w:r>
    </w:p>
    <w:p w14:paraId="03D26DBF" w14:textId="77777777" w:rsidR="00A86677" w:rsidRDefault="00000000">
      <w:pPr>
        <w:numPr>
          <w:ilvl w:val="0"/>
          <w:numId w:val="5"/>
        </w:numPr>
        <w:ind w:hanging="360"/>
      </w:pPr>
      <w:r>
        <w:t xml:space="preserve">Machine learning algorithms (trend detection, anomaly detection) </w:t>
      </w:r>
    </w:p>
    <w:p w14:paraId="3AC8F348" w14:textId="77777777" w:rsidR="00A86677" w:rsidRDefault="00000000">
      <w:pPr>
        <w:numPr>
          <w:ilvl w:val="0"/>
          <w:numId w:val="5"/>
        </w:numPr>
        <w:ind w:hanging="360"/>
      </w:pPr>
      <w:r>
        <w:t xml:space="preserve">Time series analysis for forecasting prosperity scores </w:t>
      </w:r>
    </w:p>
    <w:p w14:paraId="4A29E227" w14:textId="77777777" w:rsidR="00A86677" w:rsidRDefault="00000000">
      <w:pPr>
        <w:pStyle w:val="Heading1"/>
        <w:ind w:left="253" w:hanging="268"/>
      </w:pPr>
      <w:r>
        <w:t xml:space="preserve">Visualization &amp; Reporting </w:t>
      </w:r>
    </w:p>
    <w:p w14:paraId="43D5D992" w14:textId="77777777" w:rsidR="00A86677" w:rsidRDefault="00000000">
      <w:pPr>
        <w:numPr>
          <w:ilvl w:val="0"/>
          <w:numId w:val="6"/>
        </w:numPr>
        <w:ind w:hanging="360"/>
      </w:pPr>
      <w:r>
        <w:t xml:space="preserve">Interactive dashboards using Power BI, Tableau, or </w:t>
      </w:r>
      <w:proofErr w:type="spellStart"/>
      <w:r>
        <w:t>Plotly</w:t>
      </w:r>
      <w:proofErr w:type="spellEnd"/>
      <w:r>
        <w:t xml:space="preserve"> Dash </w:t>
      </w:r>
    </w:p>
    <w:p w14:paraId="7E0882FD" w14:textId="77777777" w:rsidR="00A86677" w:rsidRDefault="00000000">
      <w:pPr>
        <w:numPr>
          <w:ilvl w:val="0"/>
          <w:numId w:val="6"/>
        </w:numPr>
        <w:ind w:hanging="360"/>
      </w:pPr>
      <w:r>
        <w:t xml:space="preserve">Custom reporting APIs to deliver machine-readable data for policy tools </w:t>
      </w:r>
    </w:p>
    <w:p w14:paraId="279612A8" w14:textId="77777777" w:rsidR="00A86677" w:rsidRDefault="00000000">
      <w:pPr>
        <w:numPr>
          <w:ilvl w:val="0"/>
          <w:numId w:val="6"/>
        </w:numPr>
        <w:ind w:hanging="360"/>
      </w:pPr>
      <w:r>
        <w:t xml:space="preserve">Charts, heat maps, rankings, and time series views </w:t>
      </w:r>
    </w:p>
    <w:p w14:paraId="43567C7D" w14:textId="77777777" w:rsidR="00A86677" w:rsidRDefault="00000000">
      <w:pPr>
        <w:pStyle w:val="Heading1"/>
        <w:ind w:left="253" w:hanging="268"/>
      </w:pPr>
      <w:r>
        <w:t xml:space="preserve">Stakeholder Access &amp; Security </w:t>
      </w:r>
    </w:p>
    <w:p w14:paraId="67F2AFDC" w14:textId="77777777" w:rsidR="00A86677" w:rsidRDefault="00000000">
      <w:pPr>
        <w:numPr>
          <w:ilvl w:val="0"/>
          <w:numId w:val="7"/>
        </w:numPr>
        <w:ind w:hanging="360"/>
      </w:pPr>
      <w:r>
        <w:t xml:space="preserve">Web portal for policymakers and analysts </w:t>
      </w:r>
    </w:p>
    <w:p w14:paraId="64516CB4" w14:textId="77777777" w:rsidR="00A86677" w:rsidRDefault="00000000">
      <w:pPr>
        <w:numPr>
          <w:ilvl w:val="0"/>
          <w:numId w:val="7"/>
        </w:numPr>
        <w:ind w:hanging="360"/>
      </w:pPr>
      <w:r>
        <w:t xml:space="preserve">Role-based access control to protect sensitive data </w:t>
      </w:r>
    </w:p>
    <w:p w14:paraId="22C410CE" w14:textId="77777777" w:rsidR="00A86677" w:rsidRDefault="00000000">
      <w:pPr>
        <w:numPr>
          <w:ilvl w:val="0"/>
          <w:numId w:val="7"/>
        </w:numPr>
        <w:spacing w:after="211"/>
        <w:ind w:hanging="360"/>
      </w:pPr>
      <w:r>
        <w:t xml:space="preserve">Audit trails for data integrity and compliance </w:t>
      </w:r>
    </w:p>
    <w:p w14:paraId="56C57963" w14:textId="77777777" w:rsidR="00A86677" w:rsidRDefault="00000000">
      <w:pPr>
        <w:spacing w:after="108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F644D2" wp14:editId="79BB2200">
                <wp:extent cx="5733034" cy="20447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611" name="Shape 36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451.42pt;height:1.60999pt;mso-position-horizontal-relative:char;mso-position-vertical-relative:line" coordsize="57330,204">
                <v:shape id="Shape 362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2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2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23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24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25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26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27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28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CEC0E6" w14:textId="77777777" w:rsidR="00A86677" w:rsidRDefault="00000000">
      <w:pPr>
        <w:pStyle w:val="Heading1"/>
        <w:numPr>
          <w:ilvl w:val="0"/>
          <w:numId w:val="0"/>
        </w:numPr>
        <w:spacing w:after="194"/>
        <w:ind w:left="-5"/>
      </w:pPr>
      <w:r>
        <w:t xml:space="preserve">Development Phases </w:t>
      </w:r>
    </w:p>
    <w:p w14:paraId="46CB3403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1: Requirements gathering and stakeholder interviews </w:t>
      </w:r>
    </w:p>
    <w:p w14:paraId="7C9725B0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2: Design of data pipelines and schema </w:t>
      </w:r>
    </w:p>
    <w:p w14:paraId="4D8DBF88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3: Data acquisition and transformation </w:t>
      </w:r>
    </w:p>
    <w:p w14:paraId="51F9A224" w14:textId="77777777" w:rsidR="00A86677" w:rsidRDefault="00000000">
      <w:pPr>
        <w:spacing w:after="8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4: Index </w:t>
      </w:r>
      <w:proofErr w:type="spellStart"/>
      <w:r>
        <w:t>modeling</w:t>
      </w:r>
      <w:proofErr w:type="spellEnd"/>
      <w:r>
        <w:t xml:space="preserve"> and scoring logic </w:t>
      </w:r>
    </w:p>
    <w:p w14:paraId="70CE21D5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5: Visualization and dashboard building </w:t>
      </w:r>
    </w:p>
    <w:p w14:paraId="2EF4D1A8" w14:textId="77777777" w:rsidR="00A86677" w:rsidRDefault="00000000"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Phase 6: User testing, final deployment, and knowledge transfer </w:t>
      </w:r>
    </w:p>
    <w:p w14:paraId="011BD574" w14:textId="77777777" w:rsidR="00A86677" w:rsidRDefault="00000000">
      <w:pPr>
        <w:spacing w:after="11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14418E" wp14:editId="73239942">
                <wp:extent cx="5733034" cy="20447"/>
                <wp:effectExtent l="0" t="0" r="0" b="0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3629" name="Shape 362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3" style="width:451.42pt;height:1.60999pt;mso-position-horizontal-relative:char;mso-position-vertical-relative:line" coordsize="57330,204">
                <v:shape id="Shape 363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3639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40" style="position:absolute;width:57265;height:91;left:33;top:6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641" style="position:absolute;width:91;height:91;left:57299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642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643" style="position:absolute;width:91;height:137;left:57299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644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645" style="position:absolute;width:57265;height:91;left:33;top:173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646" style="position:absolute;width:91;height:91;left:57299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3D87831" w14:textId="77777777" w:rsidR="00A86677" w:rsidRDefault="00000000">
      <w:pPr>
        <w:pStyle w:val="Heading1"/>
        <w:numPr>
          <w:ilvl w:val="0"/>
          <w:numId w:val="0"/>
        </w:numPr>
        <w:spacing w:after="194"/>
        <w:ind w:left="-5"/>
      </w:pPr>
      <w:r>
        <w:t xml:space="preserve">Key Benefits </w:t>
      </w:r>
    </w:p>
    <w:p w14:paraId="4287BA5B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Transparent and explainable index methodology </w:t>
      </w:r>
    </w:p>
    <w:p w14:paraId="6C051022" w14:textId="77777777" w:rsidR="00A86677" w:rsidRDefault="00000000">
      <w:pPr>
        <w:spacing w:after="10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Scalable and automated updates for long-term sustainability </w:t>
      </w:r>
    </w:p>
    <w:p w14:paraId="1948CD0F" w14:textId="77777777" w:rsidR="00A86677" w:rsidRDefault="00000000">
      <w:pPr>
        <w:spacing w:after="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Actionable insights through advanced visualizations </w:t>
      </w:r>
    </w:p>
    <w:p w14:paraId="18EF70B9" w14:textId="77777777" w:rsidR="00A86677" w:rsidRDefault="00000000">
      <w:pPr>
        <w:spacing w:after="135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Better decision-making for economic reform initiatives </w:t>
      </w:r>
    </w:p>
    <w:p w14:paraId="34C42C7E" w14:textId="77777777" w:rsidR="00A86677" w:rsidRDefault="00000000">
      <w:pPr>
        <w:ind w:left="0" w:firstLine="0"/>
      </w:pPr>
      <w:r>
        <w:t xml:space="preserve"> </w:t>
      </w:r>
    </w:p>
    <w:p w14:paraId="64EBBBF5" w14:textId="77777777" w:rsidR="00A86677" w:rsidRDefault="00000000">
      <w:pPr>
        <w:spacing w:after="0"/>
        <w:ind w:left="0" w:firstLine="0"/>
      </w:pPr>
      <w:r>
        <w:t xml:space="preserve"> </w:t>
      </w:r>
    </w:p>
    <w:p w14:paraId="42968C35" w14:textId="77777777" w:rsidR="00A86677" w:rsidRDefault="00000000">
      <w:pPr>
        <w:spacing w:after="0"/>
        <w:ind w:left="-5"/>
      </w:pPr>
      <w:r>
        <w:rPr>
          <w:b/>
        </w:rPr>
        <w:t xml:space="preserve">Solution Data Flow </w:t>
      </w:r>
      <w:proofErr w:type="gramStart"/>
      <w:r>
        <w:rPr>
          <w:b/>
        </w:rPr>
        <w:t>Diagram :</w:t>
      </w:r>
      <w:proofErr w:type="gramEnd"/>
      <w:r>
        <w:rPr>
          <w:b/>
        </w:rPr>
        <w:t xml:space="preserve"> </w:t>
      </w:r>
    </w:p>
    <w:p w14:paraId="248D9DCE" w14:textId="77777777" w:rsidR="00A86677" w:rsidRDefault="00000000">
      <w:pPr>
        <w:spacing w:after="52"/>
        <w:ind w:left="1260" w:firstLine="0"/>
      </w:pPr>
      <w:r>
        <w:rPr>
          <w:noProof/>
        </w:rPr>
        <w:lastRenderedPageBreak/>
        <w:drawing>
          <wp:inline distT="0" distB="0" distL="0" distR="0" wp14:anchorId="37BB6D6A" wp14:editId="2C615FD7">
            <wp:extent cx="3398520" cy="33985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A56D" w14:textId="77777777" w:rsidR="00A86677" w:rsidRDefault="00000000">
      <w:pPr>
        <w:spacing w:after="160"/>
        <w:ind w:left="0" w:firstLine="0"/>
      </w:pPr>
      <w:r>
        <w:t xml:space="preserve"> </w:t>
      </w:r>
    </w:p>
    <w:p w14:paraId="56362C46" w14:textId="77777777" w:rsidR="00A86677" w:rsidRDefault="00000000">
      <w:r>
        <w:rPr>
          <w:b/>
        </w:rPr>
        <w:t>Figure 1:</w:t>
      </w:r>
      <w:r>
        <w:t xml:space="preserve"> Solution Data Flow Diagram for Measuring the Pulse of Prosperity Project </w:t>
      </w:r>
    </w:p>
    <w:p w14:paraId="774D65EC" w14:textId="77777777" w:rsidR="00A86677" w:rsidRDefault="00000000">
      <w:pPr>
        <w:spacing w:after="158"/>
        <w:ind w:left="0" w:firstLine="0"/>
      </w:pPr>
      <w:r>
        <w:t xml:space="preserve"> </w:t>
      </w:r>
    </w:p>
    <w:p w14:paraId="6F4C0F89" w14:textId="77777777" w:rsidR="00A86677" w:rsidRDefault="00000000">
      <w:pPr>
        <w:spacing w:after="0"/>
        <w:ind w:left="-5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3FCDDE6" w14:textId="77777777" w:rsidR="00A86677" w:rsidRDefault="00000000">
      <w:pPr>
        <w:spacing w:after="64"/>
        <w:ind w:left="1032" w:firstLine="0"/>
      </w:pPr>
      <w:r>
        <w:rPr>
          <w:noProof/>
        </w:rPr>
        <w:drawing>
          <wp:inline distT="0" distB="0" distL="0" distR="0" wp14:anchorId="2EA676E6" wp14:editId="432C2D72">
            <wp:extent cx="3749040" cy="374904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A662" w14:textId="77777777" w:rsidR="00A86677" w:rsidRDefault="00000000">
      <w:pPr>
        <w:spacing w:after="155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6D0D1AD" w14:textId="77777777" w:rsidR="00A86677" w:rsidRDefault="00000000">
      <w:pPr>
        <w:spacing w:after="158"/>
        <w:ind w:left="0" w:firstLine="0"/>
      </w:pPr>
      <w:r>
        <w:rPr>
          <w:b/>
          <w:sz w:val="22"/>
        </w:rPr>
        <w:lastRenderedPageBreak/>
        <w:t xml:space="preserve">Figure 2: </w:t>
      </w:r>
      <w:r>
        <w:rPr>
          <w:sz w:val="22"/>
        </w:rPr>
        <w:t>Solution Architecture Diagram for Measuring the Pulse of Prosperity Project</w:t>
      </w:r>
      <w:r>
        <w:rPr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Reference: </w:t>
      </w:r>
      <w:hyperlink r:id="rId7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https://aws.amazon.com/blogs/industries/voice</w:t>
        </w:r>
      </w:hyperlink>
      <w:hyperlink r:id="rId8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9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applications</w:t>
        </w:r>
      </w:hyperlink>
      <w:hyperlink r:id="rId10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1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in</w:t>
        </w:r>
      </w:hyperlink>
      <w:hyperlink r:id="rId12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3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clinical</w:t>
        </w:r>
      </w:hyperlink>
      <w:hyperlink r:id="rId14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5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research</w:t>
        </w:r>
      </w:hyperlink>
      <w:hyperlink r:id="rId16"/>
      <w:hyperlink r:id="rId17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powered</w:t>
        </w:r>
      </w:hyperlink>
      <w:hyperlink r:id="rId18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19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by</w:t>
        </w:r>
      </w:hyperlink>
      <w:hyperlink r:id="rId20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1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ai</w:t>
        </w:r>
      </w:hyperlink>
      <w:hyperlink r:id="rId22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3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on</w:t>
        </w:r>
      </w:hyperlink>
      <w:hyperlink r:id="rId24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5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aws</w:t>
        </w:r>
      </w:hyperlink>
      <w:hyperlink r:id="rId26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7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part</w:t>
        </w:r>
      </w:hyperlink>
      <w:hyperlink r:id="rId28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29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1</w:t>
        </w:r>
      </w:hyperlink>
      <w:hyperlink r:id="rId30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1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architecture</w:t>
        </w:r>
      </w:hyperlink>
      <w:hyperlink r:id="rId32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3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and</w:t>
        </w:r>
      </w:hyperlink>
      <w:hyperlink r:id="rId34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5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design</w:t>
        </w:r>
      </w:hyperlink>
      <w:hyperlink r:id="rId36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-</w:t>
        </w:r>
      </w:hyperlink>
      <w:hyperlink r:id="rId37">
        <w:r w:rsidR="00A86677">
          <w:rPr>
            <w:rFonts w:ascii="Calibri" w:eastAsia="Calibri" w:hAnsi="Calibri" w:cs="Calibri"/>
            <w:b/>
            <w:color w:val="0563C1"/>
            <w:sz w:val="22"/>
            <w:u w:val="single" w:color="0563C1"/>
          </w:rPr>
          <w:t>considerations/</w:t>
        </w:r>
      </w:hyperlink>
      <w:hyperlink r:id="rId38">
        <w:r w:rsidR="00A86677">
          <w:rPr>
            <w:rFonts w:ascii="Calibri" w:eastAsia="Calibri" w:hAnsi="Calibri" w:cs="Calibri"/>
            <w:b/>
            <w:sz w:val="22"/>
          </w:rPr>
          <w:t xml:space="preserve"> </w:t>
        </w:r>
      </w:hyperlink>
    </w:p>
    <w:p w14:paraId="140885AF" w14:textId="77777777" w:rsidR="00A86677" w:rsidRDefault="00000000">
      <w:pPr>
        <w:spacing w:after="160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5FD4804" w14:textId="77777777" w:rsidR="00A86677" w:rsidRDefault="00000000">
      <w:pPr>
        <w:spacing w:after="0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sectPr w:rsidR="00A86677">
      <w:pgSz w:w="11906" w:h="16838"/>
      <w:pgMar w:top="895" w:right="1371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0617"/>
    <w:multiLevelType w:val="hybridMultilevel"/>
    <w:tmpl w:val="8DDEF8AE"/>
    <w:lvl w:ilvl="0" w:tplc="E97A8A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EF7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67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90E4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1AC6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8D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A1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904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ECD0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3C2CD6"/>
    <w:multiLevelType w:val="hybridMultilevel"/>
    <w:tmpl w:val="9A846036"/>
    <w:lvl w:ilvl="0" w:tplc="4E36D3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721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D4D3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EF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D050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BC5B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8C9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6AB5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A45E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423774"/>
    <w:multiLevelType w:val="hybridMultilevel"/>
    <w:tmpl w:val="39CCC48E"/>
    <w:lvl w:ilvl="0" w:tplc="F15A8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4E17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A82C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477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96D2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9CF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C28C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DE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AC98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B2EB9"/>
    <w:multiLevelType w:val="hybridMultilevel"/>
    <w:tmpl w:val="6FF0CC26"/>
    <w:lvl w:ilvl="0" w:tplc="5EBE2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014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D05A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9235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C8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B0E4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386C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47C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6D6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2E36AE"/>
    <w:multiLevelType w:val="hybridMultilevel"/>
    <w:tmpl w:val="E32C8F48"/>
    <w:lvl w:ilvl="0" w:tplc="57A487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0A1F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E5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25A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5297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85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4D6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6AD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80B8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4624AB"/>
    <w:multiLevelType w:val="hybridMultilevel"/>
    <w:tmpl w:val="DB88AE44"/>
    <w:lvl w:ilvl="0" w:tplc="0B2AA7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8EA6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6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98E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080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BC2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3A98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4FE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4830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4A3B8D"/>
    <w:multiLevelType w:val="hybridMultilevel"/>
    <w:tmpl w:val="B886845E"/>
    <w:lvl w:ilvl="0" w:tplc="76BEBB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22CF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EED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023B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A32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28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028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2F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6E9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2077E6"/>
    <w:multiLevelType w:val="hybridMultilevel"/>
    <w:tmpl w:val="F11ECCC2"/>
    <w:lvl w:ilvl="0" w:tplc="C06A439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EB5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0F1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E48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68B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01C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B0CE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DCBE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2DE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138050">
    <w:abstractNumId w:val="4"/>
  </w:num>
  <w:num w:numId="2" w16cid:durableId="648676161">
    <w:abstractNumId w:val="1"/>
  </w:num>
  <w:num w:numId="3" w16cid:durableId="750544049">
    <w:abstractNumId w:val="3"/>
  </w:num>
  <w:num w:numId="4" w16cid:durableId="2030446180">
    <w:abstractNumId w:val="5"/>
  </w:num>
  <w:num w:numId="5" w16cid:durableId="999960807">
    <w:abstractNumId w:val="2"/>
  </w:num>
  <w:num w:numId="6" w16cid:durableId="154498595">
    <w:abstractNumId w:val="0"/>
  </w:num>
  <w:num w:numId="7" w16cid:durableId="1117332441">
    <w:abstractNumId w:val="6"/>
  </w:num>
  <w:num w:numId="8" w16cid:durableId="1663849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677"/>
    <w:rsid w:val="004C4A83"/>
    <w:rsid w:val="00623EE8"/>
    <w:rsid w:val="00A86677"/>
    <w:rsid w:val="00B83E99"/>
    <w:rsid w:val="00B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2C390"/>
  <w15:docId w15:val="{0B1066F2-0172-437D-82B8-0EEB0D6E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Ashish shabolu</cp:lastModifiedBy>
  <cp:revision>2</cp:revision>
  <dcterms:created xsi:type="dcterms:W3CDTF">2025-07-02T14:23:00Z</dcterms:created>
  <dcterms:modified xsi:type="dcterms:W3CDTF">2025-07-02T14:23:00Z</dcterms:modified>
</cp:coreProperties>
</file>