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87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
        <w:gridCol w:w="7473"/>
        <w:gridCol w:w="284"/>
        <w:gridCol w:w="141"/>
        <w:gridCol w:w="7938"/>
      </w:tblGrid>
      <w:tr w:rsidR="00F231CA" w14:paraId="3B0A4026" w14:textId="77777777" w:rsidTr="00E97323">
        <w:trPr>
          <w:trHeight w:val="1243"/>
        </w:trPr>
        <w:tc>
          <w:tcPr>
            <w:tcW w:w="15876" w:type="dxa"/>
            <w:gridSpan w:val="5"/>
            <w:tcBorders>
              <w:top w:val="none" w:sz="0" w:space="0" w:color="FFFFFF"/>
              <w:left w:val="none" w:sz="0" w:space="0" w:color="FFFFFF"/>
              <w:bottom w:val="none" w:sz="0" w:space="0" w:color="FFFFFF"/>
              <w:right w:val="none" w:sz="0" w:space="0" w:color="FFFFFF"/>
            </w:tcBorders>
            <w:shd w:val="clear" w:color="auto" w:fill="1A1A2E"/>
            <w:tcMar>
              <w:top w:w="600" w:type="dxa"/>
              <w:left w:w="700" w:type="dxa"/>
              <w:bottom w:w="500" w:type="dxa"/>
              <w:right w:w="700" w:type="dxa"/>
            </w:tcMar>
          </w:tcPr>
          <w:p w14:paraId="2F80E6E2" w14:textId="2030CC48" w:rsidR="00F231CA" w:rsidRPr="007A1003" w:rsidRDefault="00A426B2">
            <w:pPr>
              <w:spacing w:after="180"/>
              <w:rPr>
                <w:sz w:val="28"/>
                <w:szCs w:val="28"/>
              </w:rPr>
            </w:pPr>
            <w:r w:rsidRPr="007A1003">
              <w:rPr>
                <w:b/>
                <w:bCs/>
                <w:caps/>
                <w:color w:val="C4A052"/>
                <w:sz w:val="24"/>
                <w:szCs w:val="24"/>
              </w:rPr>
              <w:t>Market Opportunity Brief</w:t>
            </w:r>
          </w:p>
          <w:p w14:paraId="0446BDF7" w14:textId="77777777" w:rsidR="00A426B2" w:rsidRPr="00A426B2" w:rsidRDefault="00A426B2" w:rsidP="00A426B2">
            <w:pPr>
              <w:spacing w:after="180"/>
              <w:ind w:right="-554"/>
              <w:rPr>
                <w:rFonts w:ascii="Georgia" w:eastAsia="Georgia" w:hAnsi="Georgia" w:cs="Georgia"/>
                <w:b/>
                <w:bCs/>
                <w:color w:val="FFFFFF"/>
                <w:sz w:val="64"/>
                <w:szCs w:val="64"/>
              </w:rPr>
            </w:pPr>
            <w:r w:rsidRPr="00A426B2">
              <w:rPr>
                <w:rFonts w:ascii="Georgia" w:eastAsia="Georgia" w:hAnsi="Georgia" w:cs="Georgia"/>
                <w:b/>
                <w:bCs/>
                <w:color w:val="FFFFFF"/>
                <w:sz w:val="64"/>
                <w:szCs w:val="64"/>
              </w:rPr>
              <w:t>THE INDIA OPPORTUNITY</w:t>
            </w:r>
          </w:p>
          <w:p w14:paraId="78143A37" w14:textId="75BF1DF3" w:rsidR="00F231CA" w:rsidRPr="007A1003" w:rsidRDefault="00A426B2">
            <w:pPr>
              <w:rPr>
                <w:sz w:val="24"/>
                <w:szCs w:val="24"/>
              </w:rPr>
            </w:pPr>
            <w:r w:rsidRPr="007A1003">
              <w:rPr>
                <w:color w:val="E8E8E8"/>
                <w:sz w:val="24"/>
                <w:szCs w:val="24"/>
              </w:rPr>
              <w:t>Why India represents a strategic, high-growth market for Mexican tequila brands—and why entering now positions you ahead of the curve in one of the world's most dynamic premium spirits markets.</w:t>
            </w:r>
          </w:p>
        </w:tc>
      </w:tr>
      <w:tr w:rsidR="00F231CA" w14:paraId="783AF54E" w14:textId="77777777" w:rsidTr="00D40700">
        <w:tblPrEx>
          <w:tblCellMar>
            <w:top w:w="500" w:type="dxa"/>
            <w:bottom w:w="400" w:type="dxa"/>
          </w:tblCellMar>
        </w:tblPrEx>
        <w:trPr>
          <w:trHeight w:val="1907"/>
        </w:trPr>
        <w:tc>
          <w:tcPr>
            <w:tcW w:w="40" w:type="dxa"/>
            <w:tcBorders>
              <w:top w:val="none" w:sz="0" w:space="0" w:color="FFFFFF"/>
              <w:left w:val="none" w:sz="0" w:space="0" w:color="FFFFFF"/>
              <w:bottom w:val="none" w:sz="0" w:space="0" w:color="FFFFFF"/>
              <w:right w:val="nil"/>
            </w:tcBorders>
            <w:shd w:val="clear" w:color="auto" w:fill="C4A052"/>
          </w:tcPr>
          <w:p w14:paraId="134BC880" w14:textId="77777777" w:rsidR="00F231CA" w:rsidRDefault="00F231CA"/>
        </w:tc>
        <w:tc>
          <w:tcPr>
            <w:tcW w:w="15836" w:type="dxa"/>
            <w:gridSpan w:val="4"/>
            <w:tcBorders>
              <w:top w:val="nil"/>
              <w:left w:val="nil"/>
              <w:bottom w:val="nil"/>
              <w:right w:val="nil"/>
            </w:tcBorders>
            <w:shd w:val="clear" w:color="auto" w:fill="F9F7F4"/>
            <w:tcMar>
              <w:top w:w="280" w:type="dxa"/>
              <w:left w:w="350" w:type="dxa"/>
              <w:bottom w:w="280" w:type="dxa"/>
              <w:right w:w="350" w:type="dxa"/>
            </w:tcMar>
          </w:tcPr>
          <w:p w14:paraId="57AD8953" w14:textId="77777777" w:rsidR="00F231CA" w:rsidRPr="007A1003" w:rsidRDefault="00A426B2">
            <w:pPr>
              <w:rPr>
                <w:color w:val="1A1A2E"/>
                <w:sz w:val="24"/>
                <w:szCs w:val="24"/>
              </w:rPr>
            </w:pPr>
            <w:r w:rsidRPr="007A1003">
              <w:rPr>
                <w:b/>
                <w:bCs/>
                <w:color w:val="1A1A2E"/>
                <w:sz w:val="24"/>
                <w:szCs w:val="24"/>
              </w:rPr>
              <w:t xml:space="preserve">India </w:t>
            </w:r>
            <w:r w:rsidRPr="007A1003">
              <w:rPr>
                <w:color w:val="1A1A2E"/>
                <w:sz w:val="24"/>
                <w:szCs w:val="24"/>
              </w:rPr>
              <w:t>is the fifth largest player in the global alcohol beverage market and one of the world's fastest-growing premium spirits markets. Yet Mexican tequila remains dramatically under-represented—creating a significant first-mover opportunity for brands that enter with the right positioning, institutional support, and compliance framework.</w:t>
            </w:r>
          </w:p>
          <w:p w14:paraId="2740882C" w14:textId="77777777" w:rsidR="00A426B2" w:rsidRDefault="00A426B2">
            <w:pPr>
              <w:rPr>
                <w:color w:val="1A1A2E"/>
                <w:sz w:val="20"/>
                <w:szCs w:val="20"/>
              </w:rPr>
            </w:pPr>
          </w:p>
          <w:tbl>
            <w:tblPr>
              <w:tblStyle w:val="TableGrid"/>
              <w:tblW w:w="0" w:type="auto"/>
              <w:jc w:val="center"/>
              <w:tblLook w:val="04A0" w:firstRow="1" w:lastRow="0" w:firstColumn="1" w:lastColumn="0" w:noHBand="0" w:noVBand="1"/>
            </w:tblPr>
            <w:tblGrid>
              <w:gridCol w:w="3544"/>
              <w:gridCol w:w="3795"/>
              <w:gridCol w:w="3293"/>
              <w:gridCol w:w="3688"/>
            </w:tblGrid>
            <w:tr w:rsidR="007A1003" w14:paraId="57E9914C" w14:textId="77777777" w:rsidTr="00D40700">
              <w:trPr>
                <w:trHeight w:val="986"/>
                <w:jc w:val="center"/>
              </w:trPr>
              <w:tc>
                <w:tcPr>
                  <w:tcW w:w="3544" w:type="dxa"/>
                  <w:vAlign w:val="center"/>
                </w:tcPr>
                <w:p w14:paraId="377A2CF7" w14:textId="77777777" w:rsidR="00A426B2" w:rsidRDefault="00A426B2" w:rsidP="00A426B2">
                  <w:pPr>
                    <w:jc w:val="center"/>
                    <w:rPr>
                      <w:rFonts w:ascii="Georgia" w:hAnsi="Georgia"/>
                      <w:b/>
                      <w:bCs/>
                      <w:color w:val="8B6E3D"/>
                      <w:sz w:val="40"/>
                      <w:szCs w:val="40"/>
                      <w:lang w:val="en"/>
                    </w:rPr>
                  </w:pPr>
                  <w:r>
                    <w:rPr>
                      <w:rFonts w:ascii="Georgia" w:hAnsi="Georgia"/>
                      <w:b/>
                      <w:bCs/>
                      <w:color w:val="8B6E3D"/>
                      <w:sz w:val="40"/>
                      <w:szCs w:val="40"/>
                      <w:lang w:val="en"/>
                    </w:rPr>
                    <w:t>USD 68.75B</w:t>
                  </w:r>
                </w:p>
                <w:p w14:paraId="651BC437" w14:textId="77777777" w:rsidR="00A426B2" w:rsidRPr="007A1003" w:rsidRDefault="00A426B2" w:rsidP="00A426B2">
                  <w:pPr>
                    <w:jc w:val="center"/>
                    <w:rPr>
                      <w:rFonts w:ascii="Arial" w:hAnsi="Arial" w:cs="Arial"/>
                      <w:color w:val="4A4A4A"/>
                      <w:lang w:val="en"/>
                    </w:rPr>
                  </w:pPr>
                  <w:r w:rsidRPr="007A1003">
                    <w:rPr>
                      <w:rFonts w:ascii="Arial" w:hAnsi="Arial" w:cs="Arial"/>
                      <w:color w:val="4A4A4A"/>
                      <w:lang w:val="en"/>
                    </w:rPr>
                    <w:t>Projected Market Size</w:t>
                  </w:r>
                  <w:r w:rsidRPr="007A1003">
                    <w:rPr>
                      <w:rFonts w:ascii="Arial" w:hAnsi="Arial" w:cs="Arial"/>
                      <w:color w:val="4A4A4A"/>
                      <w:lang w:val="en"/>
                    </w:rPr>
                    <w:br/>
                    <w:t>by 2034</w:t>
                  </w:r>
                </w:p>
              </w:tc>
              <w:tc>
                <w:tcPr>
                  <w:tcW w:w="3795" w:type="dxa"/>
                  <w:vAlign w:val="center"/>
                </w:tcPr>
                <w:p w14:paraId="75434C91" w14:textId="77777777" w:rsidR="00A426B2" w:rsidRDefault="00A426B2" w:rsidP="00A426B2">
                  <w:pPr>
                    <w:jc w:val="center"/>
                    <w:rPr>
                      <w:rFonts w:ascii="Georgia" w:hAnsi="Georgia"/>
                      <w:b/>
                      <w:bCs/>
                      <w:color w:val="8B6E3D"/>
                      <w:sz w:val="40"/>
                      <w:szCs w:val="40"/>
                      <w:lang w:val="en"/>
                    </w:rPr>
                  </w:pPr>
                  <w:r>
                    <w:rPr>
                      <w:rFonts w:ascii="Georgia" w:hAnsi="Georgia"/>
                      <w:b/>
                      <w:bCs/>
                      <w:color w:val="8B6E3D"/>
                      <w:sz w:val="40"/>
                      <w:szCs w:val="40"/>
                      <w:lang w:val="en"/>
                    </w:rPr>
                    <w:t>5.8%</w:t>
                  </w:r>
                </w:p>
                <w:p w14:paraId="62093221" w14:textId="77777777" w:rsidR="00A426B2" w:rsidRPr="007A1003" w:rsidRDefault="00A426B2" w:rsidP="00A426B2">
                  <w:pPr>
                    <w:jc w:val="center"/>
                    <w:rPr>
                      <w:rFonts w:ascii="Arial" w:hAnsi="Arial" w:cs="Arial"/>
                      <w:color w:val="4A4A4A"/>
                      <w:lang w:val="en"/>
                    </w:rPr>
                  </w:pPr>
                  <w:r w:rsidRPr="007A1003">
                    <w:rPr>
                      <w:rFonts w:ascii="Arial" w:hAnsi="Arial" w:cs="Arial"/>
                      <w:color w:val="4A4A4A"/>
                      <w:lang w:val="en"/>
                    </w:rPr>
                    <w:t>Annual Growth Rate</w:t>
                  </w:r>
                  <w:r w:rsidRPr="007A1003">
                    <w:rPr>
                      <w:rFonts w:ascii="Arial" w:hAnsi="Arial" w:cs="Arial"/>
                      <w:color w:val="4A4A4A"/>
                      <w:lang w:val="en"/>
                    </w:rPr>
                    <w:br/>
                    <w:t>(CAGR 2025-2034)</w:t>
                  </w:r>
                </w:p>
                <w:p w14:paraId="31DD47AB" w14:textId="77777777" w:rsidR="00A426B2" w:rsidRPr="00193BF1" w:rsidRDefault="00A426B2" w:rsidP="00A426B2">
                  <w:pPr>
                    <w:jc w:val="center"/>
                    <w:rPr>
                      <w:rFonts w:ascii="Arial" w:hAnsi="Arial" w:cs="Arial"/>
                      <w:color w:val="4A4A4A"/>
                      <w:sz w:val="15"/>
                      <w:szCs w:val="15"/>
                      <w:lang w:val="en"/>
                    </w:rPr>
                  </w:pPr>
                </w:p>
              </w:tc>
              <w:tc>
                <w:tcPr>
                  <w:tcW w:w="3293" w:type="dxa"/>
                  <w:vAlign w:val="center"/>
                </w:tcPr>
                <w:p w14:paraId="111341AB" w14:textId="77777777" w:rsidR="00A426B2" w:rsidRDefault="00A426B2" w:rsidP="00A426B2">
                  <w:pPr>
                    <w:jc w:val="center"/>
                    <w:rPr>
                      <w:rFonts w:ascii="Georgia" w:hAnsi="Georgia"/>
                      <w:b/>
                      <w:bCs/>
                      <w:color w:val="8B6E3D"/>
                      <w:sz w:val="40"/>
                      <w:szCs w:val="40"/>
                      <w:lang w:val="en"/>
                    </w:rPr>
                  </w:pPr>
                  <w:r>
                    <w:rPr>
                      <w:rFonts w:ascii="Georgia" w:hAnsi="Georgia"/>
                      <w:b/>
                      <w:bCs/>
                      <w:color w:val="8B6E3D"/>
                      <w:sz w:val="40"/>
                      <w:szCs w:val="40"/>
                      <w:lang w:val="en"/>
                    </w:rPr>
                    <w:t>123,000</w:t>
                  </w:r>
                </w:p>
                <w:p w14:paraId="2ACAE8BB" w14:textId="77777777" w:rsidR="00A426B2" w:rsidRPr="007A1003" w:rsidRDefault="00A426B2" w:rsidP="00A426B2">
                  <w:pPr>
                    <w:jc w:val="center"/>
                    <w:rPr>
                      <w:rFonts w:ascii="Arial" w:hAnsi="Arial" w:cs="Arial"/>
                      <w:color w:val="4A4A4A"/>
                      <w:lang w:val="en"/>
                    </w:rPr>
                  </w:pPr>
                  <w:r w:rsidRPr="007A1003">
                    <w:rPr>
                      <w:rFonts w:ascii="Arial" w:hAnsi="Arial" w:cs="Arial"/>
                      <w:color w:val="4A4A4A"/>
                      <w:lang w:val="en"/>
                    </w:rPr>
                    <w:t>Annual Tequila Cases</w:t>
                  </w:r>
                  <w:r w:rsidRPr="007A1003">
                    <w:rPr>
                      <w:rFonts w:ascii="Arial" w:hAnsi="Arial" w:cs="Arial"/>
                      <w:color w:val="4A4A4A"/>
                      <w:lang w:val="en"/>
                    </w:rPr>
                    <w:br/>
                    <w:t>(2023)</w:t>
                  </w:r>
                </w:p>
              </w:tc>
              <w:tc>
                <w:tcPr>
                  <w:tcW w:w="3688" w:type="dxa"/>
                  <w:vAlign w:val="center"/>
                </w:tcPr>
                <w:p w14:paraId="454F1CD5" w14:textId="77777777" w:rsidR="00A426B2" w:rsidRDefault="00A426B2" w:rsidP="00A426B2">
                  <w:pPr>
                    <w:jc w:val="center"/>
                    <w:rPr>
                      <w:rFonts w:ascii="Georgia" w:hAnsi="Georgia"/>
                      <w:b/>
                      <w:bCs/>
                      <w:color w:val="8B6E3D"/>
                      <w:sz w:val="40"/>
                      <w:szCs w:val="40"/>
                      <w:lang w:val="en"/>
                    </w:rPr>
                  </w:pPr>
                  <w:r>
                    <w:rPr>
                      <w:rFonts w:ascii="Georgia" w:hAnsi="Georgia"/>
                      <w:b/>
                      <w:bCs/>
                      <w:color w:val="8B6E3D"/>
                      <w:sz w:val="40"/>
                      <w:szCs w:val="40"/>
                      <w:lang w:val="en"/>
                    </w:rPr>
                    <w:t>14,979</w:t>
                  </w:r>
                </w:p>
                <w:p w14:paraId="0711FB7D" w14:textId="77777777" w:rsidR="00A426B2" w:rsidRPr="007A1003" w:rsidRDefault="00A426B2" w:rsidP="00A426B2">
                  <w:pPr>
                    <w:jc w:val="center"/>
                    <w:rPr>
                      <w:rFonts w:ascii="Arial" w:hAnsi="Arial" w:cs="Arial"/>
                      <w:color w:val="4A4A4A"/>
                      <w:lang w:val="en"/>
                    </w:rPr>
                  </w:pPr>
                  <w:r w:rsidRPr="007A1003">
                    <w:rPr>
                      <w:rFonts w:ascii="Arial" w:hAnsi="Arial" w:cs="Arial"/>
                      <w:color w:val="4A4A4A"/>
                      <w:lang w:val="en"/>
                    </w:rPr>
                    <w:t>Tequila Import</w:t>
                  </w:r>
                  <w:r w:rsidRPr="007A1003">
                    <w:rPr>
                      <w:rFonts w:ascii="Arial" w:hAnsi="Arial" w:cs="Arial"/>
                      <w:color w:val="4A4A4A"/>
                      <w:lang w:val="en"/>
                    </w:rPr>
                    <w:br/>
                    <w:t>Shipments (TTM)</w:t>
                  </w:r>
                </w:p>
              </w:tc>
            </w:tr>
          </w:tbl>
          <w:p w14:paraId="624AB9A9" w14:textId="77777777" w:rsidR="009C3606" w:rsidRDefault="009C3606" w:rsidP="009C3606">
            <w:pPr>
              <w:rPr>
                <w:rFonts w:ascii="Georgia" w:eastAsia="Times New Roman" w:hAnsi="Georgia"/>
                <w:b/>
                <w:bCs/>
                <w:color w:val="1A1A2E"/>
                <w:sz w:val="26"/>
                <w:szCs w:val="26"/>
                <w:lang w:val="en"/>
              </w:rPr>
            </w:pPr>
          </w:p>
          <w:p w14:paraId="033DE305" w14:textId="608F908B" w:rsidR="009C3606" w:rsidRPr="009C3606" w:rsidRDefault="009C3606" w:rsidP="009C3606">
            <w:pPr>
              <w:rPr>
                <w:rFonts w:ascii="Georgia" w:eastAsia="Times New Roman" w:hAnsi="Georgia"/>
                <w:b/>
                <w:bCs/>
                <w:color w:val="1A1A2E"/>
                <w:sz w:val="26"/>
                <w:szCs w:val="26"/>
                <w:lang w:val="en"/>
              </w:rPr>
            </w:pPr>
            <w:r>
              <w:rPr>
                <w:rFonts w:ascii="Georgia" w:eastAsia="Times New Roman" w:hAnsi="Georgia"/>
                <w:b/>
                <w:bCs/>
                <w:color w:val="1A1A2E"/>
                <w:sz w:val="26"/>
                <w:szCs w:val="26"/>
                <w:lang w:val="en"/>
              </w:rPr>
              <w:t>Market Fundamentals: Why India, Why Now</w:t>
            </w:r>
          </w:p>
        </w:tc>
      </w:tr>
      <w:tr w:rsidR="00F231CA" w14:paraId="6991D516" w14:textId="77777777" w:rsidTr="00D40700">
        <w:trPr>
          <w:trHeight w:val="2559"/>
        </w:trPr>
        <w:tc>
          <w:tcPr>
            <w:tcW w:w="7513" w:type="dxa"/>
            <w:gridSpan w:val="2"/>
            <w:tcBorders>
              <w:top w:val="nil"/>
              <w:left w:val="single" w:sz="20" w:space="0" w:color="8B6E3D"/>
              <w:bottom w:val="single" w:sz="20" w:space="0" w:color="8B6E3D"/>
              <w:right w:val="single" w:sz="20" w:space="0" w:color="8B6E3D"/>
            </w:tcBorders>
            <w:tcMar>
              <w:top w:w="500" w:type="dxa"/>
              <w:left w:w="300" w:type="dxa"/>
              <w:bottom w:w="300" w:type="dxa"/>
              <w:right w:w="300" w:type="dxa"/>
            </w:tcMar>
          </w:tcPr>
          <w:p w14:paraId="57E5C669" w14:textId="77777777" w:rsidR="009C3606" w:rsidRPr="007A1003" w:rsidRDefault="009C3606" w:rsidP="009C3606">
            <w:pPr>
              <w:shd w:val="clear" w:color="auto" w:fill="FFFFFF"/>
              <w:rPr>
                <w:rFonts w:ascii="Georgia" w:eastAsia="Times New Roman" w:hAnsi="Georgia"/>
                <w:b/>
                <w:bCs/>
                <w:color w:val="8B6E3D"/>
                <w:sz w:val="24"/>
                <w:szCs w:val="24"/>
                <w:lang w:val="en"/>
              </w:rPr>
            </w:pPr>
            <w:r w:rsidRPr="007A1003">
              <w:rPr>
                <w:rFonts w:ascii="Georgia" w:eastAsia="Times New Roman" w:hAnsi="Georgia"/>
                <w:b/>
                <w:bCs/>
                <w:color w:val="8B6E3D"/>
                <w:sz w:val="24"/>
                <w:szCs w:val="24"/>
                <w:lang w:val="en"/>
              </w:rPr>
              <w:t>Demographic &amp; Economic Drivers</w:t>
            </w:r>
          </w:p>
          <w:p w14:paraId="24F99C0A" w14:textId="77777777" w:rsidR="009C3606" w:rsidRPr="007A1003" w:rsidRDefault="009C3606" w:rsidP="009C3606">
            <w:pPr>
              <w:numPr>
                <w:ilvl w:val="0"/>
                <w:numId w:val="2"/>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1.4 billion consumers</w:t>
            </w:r>
            <w:r w:rsidRPr="007A1003">
              <w:rPr>
                <w:rFonts w:eastAsia="Times New Roman"/>
                <w:color w:val="4A4A4A"/>
                <w:sz w:val="24"/>
                <w:szCs w:val="24"/>
                <w:lang w:val="en"/>
              </w:rPr>
              <w:t xml:space="preserve"> with rapidly growing middle and upper-middle class</w:t>
            </w:r>
          </w:p>
          <w:p w14:paraId="16E3E2B5" w14:textId="77777777" w:rsidR="009C3606" w:rsidRPr="007A1003" w:rsidRDefault="009C3606" w:rsidP="009C3606">
            <w:pPr>
              <w:numPr>
                <w:ilvl w:val="0"/>
                <w:numId w:val="2"/>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Rising disposable incomes</w:t>
            </w:r>
            <w:r w:rsidRPr="007A1003">
              <w:rPr>
                <w:rFonts w:eastAsia="Times New Roman"/>
                <w:color w:val="4A4A4A"/>
                <w:sz w:val="24"/>
                <w:szCs w:val="24"/>
                <w:lang w:val="en"/>
              </w:rPr>
              <w:t xml:space="preserve"> driving premiumization across categories</w:t>
            </w:r>
          </w:p>
          <w:p w14:paraId="3F7D00A3" w14:textId="77777777" w:rsidR="009C3606" w:rsidRPr="007A1003" w:rsidRDefault="009C3606" w:rsidP="009C3606">
            <w:pPr>
              <w:numPr>
                <w:ilvl w:val="0"/>
                <w:numId w:val="2"/>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Young, urban population</w:t>
            </w:r>
            <w:r w:rsidRPr="007A1003">
              <w:rPr>
                <w:rFonts w:eastAsia="Times New Roman"/>
                <w:color w:val="4A4A4A"/>
                <w:sz w:val="24"/>
                <w:szCs w:val="24"/>
                <w:lang w:val="en"/>
              </w:rPr>
              <w:t xml:space="preserve"> (median age 28) with global tastes and willingness to experiment</w:t>
            </w:r>
          </w:p>
          <w:p w14:paraId="398E409C" w14:textId="77777777" w:rsidR="009C3606" w:rsidRPr="007A1003" w:rsidRDefault="009C3606" w:rsidP="009C3606">
            <w:pPr>
              <w:numPr>
                <w:ilvl w:val="0"/>
                <w:numId w:val="2"/>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Social acceptance increasing</w:t>
            </w:r>
            <w:r w:rsidRPr="007A1003">
              <w:rPr>
                <w:rFonts w:eastAsia="Times New Roman"/>
                <w:color w:val="4A4A4A"/>
                <w:sz w:val="24"/>
                <w:szCs w:val="24"/>
                <w:lang w:val="en"/>
              </w:rPr>
              <w:t xml:space="preserve"> particularly in metros (Mumbai, Delhi, Bangalore, Goa)</w:t>
            </w:r>
          </w:p>
          <w:p w14:paraId="7A3520EA" w14:textId="24404C0B" w:rsidR="009C3606" w:rsidRPr="009C3606" w:rsidRDefault="009C3606" w:rsidP="009C3606">
            <w:pPr>
              <w:numPr>
                <w:ilvl w:val="0"/>
                <w:numId w:val="2"/>
              </w:numPr>
              <w:shd w:val="clear" w:color="auto" w:fill="FFFFFF"/>
              <w:spacing w:before="100" w:beforeAutospacing="1" w:after="90"/>
              <w:rPr>
                <w:rFonts w:eastAsia="Times New Roman"/>
                <w:color w:val="4A4A4A"/>
                <w:sz w:val="17"/>
                <w:szCs w:val="17"/>
                <w:lang w:val="en"/>
              </w:rPr>
            </w:pPr>
            <w:r w:rsidRPr="007A1003">
              <w:rPr>
                <w:rStyle w:val="Strong"/>
                <w:rFonts w:eastAsia="Times New Roman"/>
                <w:color w:val="4A4A4A"/>
                <w:sz w:val="24"/>
                <w:szCs w:val="24"/>
                <w:lang w:val="en"/>
              </w:rPr>
              <w:t>Aspirational consumption</w:t>
            </w:r>
            <w:r w:rsidRPr="007A1003">
              <w:rPr>
                <w:rFonts w:eastAsia="Times New Roman"/>
                <w:color w:val="4A4A4A"/>
                <w:sz w:val="24"/>
                <w:szCs w:val="24"/>
                <w:lang w:val="en"/>
              </w:rPr>
              <w:t xml:space="preserve"> favoring international brands with authentic heritage</w:t>
            </w:r>
          </w:p>
        </w:tc>
        <w:tc>
          <w:tcPr>
            <w:tcW w:w="425" w:type="dxa"/>
            <w:gridSpan w:val="2"/>
            <w:tcBorders>
              <w:top w:val="nil"/>
              <w:left w:val="none" w:sz="0" w:space="0" w:color="FFFFFF"/>
              <w:bottom w:val="none" w:sz="0" w:space="0" w:color="FFFFFF"/>
              <w:right w:val="none" w:sz="0" w:space="0" w:color="FFFFFF"/>
            </w:tcBorders>
          </w:tcPr>
          <w:p w14:paraId="633CB076" w14:textId="77777777" w:rsidR="00F231CA" w:rsidRDefault="00F231CA"/>
        </w:tc>
        <w:tc>
          <w:tcPr>
            <w:tcW w:w="7938" w:type="dxa"/>
            <w:tcBorders>
              <w:top w:val="nil"/>
              <w:left w:val="single" w:sz="20" w:space="0" w:color="8B6E3D"/>
              <w:bottom w:val="single" w:sz="20" w:space="0" w:color="8B6E3D"/>
              <w:right w:val="single" w:sz="20" w:space="0" w:color="8B6E3D"/>
            </w:tcBorders>
            <w:tcMar>
              <w:top w:w="500" w:type="dxa"/>
              <w:left w:w="300" w:type="dxa"/>
              <w:bottom w:w="300" w:type="dxa"/>
              <w:right w:w="300" w:type="dxa"/>
            </w:tcMar>
          </w:tcPr>
          <w:p w14:paraId="44DE7046" w14:textId="77777777" w:rsidR="009C3606" w:rsidRPr="007A1003" w:rsidRDefault="009C3606" w:rsidP="009C3606">
            <w:pPr>
              <w:shd w:val="clear" w:color="auto" w:fill="FFFFFF"/>
              <w:rPr>
                <w:rFonts w:ascii="Georgia" w:eastAsia="Times New Roman" w:hAnsi="Georgia"/>
                <w:b/>
                <w:bCs/>
                <w:color w:val="8B6E3D"/>
                <w:sz w:val="24"/>
                <w:szCs w:val="24"/>
                <w:lang w:val="en"/>
              </w:rPr>
            </w:pPr>
            <w:r w:rsidRPr="007A1003">
              <w:rPr>
                <w:rFonts w:ascii="Georgia" w:eastAsia="Times New Roman" w:hAnsi="Georgia"/>
                <w:b/>
                <w:bCs/>
                <w:color w:val="8B6E3D"/>
                <w:sz w:val="24"/>
                <w:szCs w:val="24"/>
                <w:lang w:val="en"/>
              </w:rPr>
              <w:t>Tequila-Specific Opportunity</w:t>
            </w:r>
          </w:p>
          <w:p w14:paraId="24861249" w14:textId="77777777" w:rsidR="009C3606" w:rsidRPr="007A1003" w:rsidRDefault="009C3606" w:rsidP="009C3606">
            <w:pPr>
              <w:numPr>
                <w:ilvl w:val="0"/>
                <w:numId w:val="3"/>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Category under-developed</w:t>
            </w:r>
            <w:r w:rsidRPr="007A1003">
              <w:rPr>
                <w:rFonts w:eastAsia="Times New Roman"/>
                <w:color w:val="4A4A4A"/>
                <w:sz w:val="24"/>
                <w:szCs w:val="24"/>
                <w:lang w:val="en"/>
              </w:rPr>
              <w:t xml:space="preserve"> with only 123,000 cases vs. massive market potential</w:t>
            </w:r>
          </w:p>
          <w:p w14:paraId="467840BA" w14:textId="77777777" w:rsidR="009C3606" w:rsidRPr="007A1003" w:rsidRDefault="009C3606" w:rsidP="009C3606">
            <w:pPr>
              <w:numPr>
                <w:ilvl w:val="0"/>
                <w:numId w:val="3"/>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Limited authentic brands</w:t>
            </w:r>
            <w:r w:rsidRPr="007A1003">
              <w:rPr>
                <w:rFonts w:eastAsia="Times New Roman"/>
                <w:color w:val="4A4A4A"/>
                <w:sz w:val="24"/>
                <w:szCs w:val="24"/>
                <w:lang w:val="en"/>
              </w:rPr>
              <w:t xml:space="preserve"> present—most imports are mass-market labels</w:t>
            </w:r>
          </w:p>
          <w:p w14:paraId="0E5800FB" w14:textId="77777777" w:rsidR="009C3606" w:rsidRPr="007A1003" w:rsidRDefault="009C3606" w:rsidP="009C3606">
            <w:pPr>
              <w:numPr>
                <w:ilvl w:val="0"/>
                <w:numId w:val="3"/>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Cocktail culture booming</w:t>
            </w:r>
            <w:r w:rsidRPr="007A1003">
              <w:rPr>
                <w:rFonts w:eastAsia="Times New Roman"/>
                <w:color w:val="4A4A4A"/>
                <w:sz w:val="24"/>
                <w:szCs w:val="24"/>
                <w:lang w:val="en"/>
              </w:rPr>
              <w:t xml:space="preserve"> with premium bars, speakeasies, and craft cocktail movement</w:t>
            </w:r>
          </w:p>
          <w:p w14:paraId="612A55C1" w14:textId="77777777" w:rsidR="009C3606" w:rsidRPr="007A1003" w:rsidRDefault="009C3606" w:rsidP="009C3606">
            <w:pPr>
              <w:numPr>
                <w:ilvl w:val="0"/>
                <w:numId w:val="3"/>
              </w:numPr>
              <w:shd w:val="clear" w:color="auto" w:fill="FFFFFF"/>
              <w:spacing w:before="100" w:beforeAutospacing="1" w:after="90"/>
              <w:rPr>
                <w:rFonts w:eastAsia="Times New Roman"/>
                <w:color w:val="4A4A4A"/>
                <w:sz w:val="24"/>
                <w:szCs w:val="24"/>
                <w:lang w:val="en"/>
              </w:rPr>
            </w:pPr>
            <w:r w:rsidRPr="007A1003">
              <w:rPr>
                <w:rStyle w:val="Strong"/>
                <w:rFonts w:eastAsia="Times New Roman"/>
                <w:color w:val="4A4A4A"/>
                <w:sz w:val="24"/>
                <w:szCs w:val="24"/>
                <w:lang w:val="en"/>
              </w:rPr>
              <w:t>Blanco/Silver tequila preference</w:t>
            </w:r>
            <w:r w:rsidRPr="007A1003">
              <w:rPr>
                <w:rFonts w:eastAsia="Times New Roman"/>
                <w:color w:val="4A4A4A"/>
                <w:sz w:val="24"/>
                <w:szCs w:val="24"/>
                <w:lang w:val="en"/>
              </w:rPr>
              <w:t xml:space="preserve"> aligns with Indian taste for clear spirits</w:t>
            </w:r>
          </w:p>
          <w:p w14:paraId="09F07A55" w14:textId="565F06B1" w:rsidR="00F231CA" w:rsidRPr="009C3606" w:rsidRDefault="009C3606" w:rsidP="009C3606">
            <w:pPr>
              <w:numPr>
                <w:ilvl w:val="0"/>
                <w:numId w:val="3"/>
              </w:numPr>
              <w:shd w:val="clear" w:color="auto" w:fill="FFFFFF"/>
              <w:spacing w:before="100" w:beforeAutospacing="1" w:after="90"/>
              <w:rPr>
                <w:rFonts w:eastAsia="Times New Roman"/>
                <w:color w:val="4A4A4A"/>
                <w:sz w:val="17"/>
                <w:szCs w:val="17"/>
                <w:lang w:val="en"/>
              </w:rPr>
            </w:pPr>
            <w:r w:rsidRPr="007A1003">
              <w:rPr>
                <w:rStyle w:val="Strong"/>
                <w:rFonts w:eastAsia="Times New Roman"/>
                <w:color w:val="4A4A4A"/>
                <w:sz w:val="24"/>
                <w:szCs w:val="24"/>
                <w:lang w:val="en"/>
              </w:rPr>
              <w:t>Early-stage education</w:t>
            </w:r>
            <w:r w:rsidRPr="007A1003">
              <w:rPr>
                <w:rFonts w:eastAsia="Times New Roman"/>
                <w:color w:val="4A4A4A"/>
                <w:sz w:val="24"/>
                <w:szCs w:val="24"/>
                <w:lang w:val="en"/>
              </w:rPr>
              <w:t xml:space="preserve"> creates opportunity to define category standards</w:t>
            </w:r>
          </w:p>
        </w:tc>
      </w:tr>
      <w:tr w:rsidR="009C3606" w14:paraId="6F78EA3D" w14:textId="77777777" w:rsidTr="00E97323">
        <w:trPr>
          <w:trHeight w:hRule="exact" w:val="877"/>
        </w:trPr>
        <w:tc>
          <w:tcPr>
            <w:tcW w:w="15876" w:type="dxa"/>
            <w:gridSpan w:val="5"/>
            <w:tcBorders>
              <w:top w:val="none" w:sz="0" w:space="0" w:color="FFFFFF"/>
              <w:left w:val="none" w:sz="0" w:space="0" w:color="FFFFFF"/>
              <w:bottom w:val="none" w:sz="0" w:space="0" w:color="FFFFFF"/>
              <w:right w:val="none" w:sz="0" w:space="0" w:color="FFFFFF"/>
            </w:tcBorders>
            <w:shd w:val="clear" w:color="auto" w:fill="F9F7F4"/>
          </w:tcPr>
          <w:p w14:paraId="73647211" w14:textId="5CC6305E" w:rsidR="009C3606" w:rsidRPr="009C3606" w:rsidRDefault="009C3606" w:rsidP="009C3606">
            <w:pPr>
              <w:spacing w:before="240"/>
              <w:ind w:left="409"/>
              <w:rPr>
                <w:rFonts w:ascii="Georgia" w:eastAsia="Times New Roman" w:hAnsi="Georgia"/>
                <w:b/>
                <w:bCs/>
                <w:color w:val="1A1A2E"/>
                <w:sz w:val="26"/>
                <w:szCs w:val="26"/>
                <w:lang w:val="en"/>
              </w:rPr>
            </w:pPr>
            <w:r w:rsidRPr="009C3606">
              <w:rPr>
                <w:rFonts w:ascii="Georgia" w:eastAsia="Times New Roman" w:hAnsi="Georgia"/>
                <w:b/>
                <w:bCs/>
                <w:color w:val="1A1A2E"/>
                <w:sz w:val="26"/>
                <w:szCs w:val="26"/>
                <w:lang w:val="en"/>
              </w:rPr>
              <w:t>Strategic Market Advantages for Mexica</w:t>
            </w:r>
            <w:r w:rsidRPr="009C3606">
              <w:rPr>
                <w:rFonts w:ascii="Georgia" w:eastAsia="Times New Roman" w:hAnsi="Georgia"/>
                <w:b/>
                <w:bCs/>
                <w:color w:val="1A1A2E"/>
                <w:sz w:val="26"/>
                <w:szCs w:val="26"/>
                <w:lang w:val="en"/>
              </w:rPr>
              <w:t xml:space="preserve">n </w:t>
            </w:r>
            <w:r w:rsidRPr="009C3606">
              <w:rPr>
                <w:rFonts w:ascii="Georgia" w:eastAsia="Times New Roman" w:hAnsi="Georgia"/>
                <w:b/>
                <w:bCs/>
                <w:color w:val="1A1A2E"/>
                <w:sz w:val="26"/>
                <w:szCs w:val="26"/>
                <w:lang w:val="en"/>
              </w:rPr>
              <w:t>Brands</w:t>
            </w:r>
          </w:p>
        </w:tc>
      </w:tr>
      <w:tr w:rsidR="00F231CA" w14:paraId="44B26396" w14:textId="77777777" w:rsidTr="00D40700">
        <w:trPr>
          <w:trHeight w:val="3345"/>
        </w:trPr>
        <w:tc>
          <w:tcPr>
            <w:tcW w:w="7513" w:type="dxa"/>
            <w:gridSpan w:val="2"/>
            <w:tcBorders>
              <w:top w:val="single" w:sz="20" w:space="0" w:color="8B6E3D"/>
              <w:left w:val="single" w:sz="20" w:space="0" w:color="8B6E3D"/>
              <w:bottom w:val="nil"/>
              <w:right w:val="single" w:sz="20" w:space="0" w:color="8B6E3D"/>
            </w:tcBorders>
            <w:tcMar>
              <w:top w:w="500" w:type="dxa"/>
              <w:left w:w="300" w:type="dxa"/>
              <w:bottom w:w="300" w:type="dxa"/>
              <w:right w:w="300" w:type="dxa"/>
            </w:tcMar>
          </w:tcPr>
          <w:p w14:paraId="33DB5944" w14:textId="77777777" w:rsidR="009C3606" w:rsidRPr="007A1003" w:rsidRDefault="009C3606" w:rsidP="00D40700">
            <w:pPr>
              <w:shd w:val="clear" w:color="auto" w:fill="FFFFFF"/>
              <w:rPr>
                <w:rFonts w:ascii="Georgia" w:eastAsia="Times New Roman" w:hAnsi="Georgia"/>
                <w:b/>
                <w:bCs/>
                <w:color w:val="8B6E3D"/>
                <w:sz w:val="24"/>
                <w:szCs w:val="24"/>
                <w:lang w:val="en"/>
              </w:rPr>
            </w:pPr>
            <w:r w:rsidRPr="007A1003">
              <w:rPr>
                <w:rFonts w:ascii="Georgia" w:eastAsia="Times New Roman" w:hAnsi="Georgia"/>
                <w:b/>
                <w:bCs/>
                <w:color w:val="8B6E3D"/>
                <w:sz w:val="24"/>
                <w:szCs w:val="24"/>
                <w:lang w:val="en"/>
              </w:rPr>
              <w:t>Consumer Trends Working in Your Favor</w:t>
            </w:r>
          </w:p>
          <w:p w14:paraId="00FC4FA9" w14:textId="77777777" w:rsidR="009C3606" w:rsidRPr="007A1003" w:rsidRDefault="009C3606" w:rsidP="00D40700">
            <w:pPr>
              <w:numPr>
                <w:ilvl w:val="0"/>
                <w:numId w:val="4"/>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Shift from whisky-dominated market to spirits diversification</w:t>
            </w:r>
          </w:p>
          <w:p w14:paraId="6A88C495" w14:textId="77777777" w:rsidR="009C3606" w:rsidRPr="007A1003" w:rsidRDefault="009C3606" w:rsidP="00D40700">
            <w:pPr>
              <w:numPr>
                <w:ilvl w:val="0"/>
                <w:numId w:val="4"/>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Growing appreciation for craft, artisanal, and heritage spirits</w:t>
            </w:r>
          </w:p>
          <w:p w14:paraId="1BEA7F32" w14:textId="77777777" w:rsidR="009C3606" w:rsidRPr="007A1003" w:rsidRDefault="009C3606" w:rsidP="00D40700">
            <w:pPr>
              <w:numPr>
                <w:ilvl w:val="0"/>
                <w:numId w:val="4"/>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Premiumization: Consumers trading up to higher-quality brands</w:t>
            </w:r>
          </w:p>
          <w:p w14:paraId="0E1E51CC" w14:textId="77777777" w:rsidR="009C3606" w:rsidRPr="007A1003" w:rsidRDefault="009C3606" w:rsidP="00D40700">
            <w:pPr>
              <w:numPr>
                <w:ilvl w:val="0"/>
                <w:numId w:val="4"/>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Hospitality expansion: Luxury hotels, premium bars, fine-dining growth</w:t>
            </w:r>
          </w:p>
          <w:p w14:paraId="5E5FE175" w14:textId="7F2A6B3D" w:rsidR="00E97323" w:rsidRPr="00E97323" w:rsidRDefault="009C3606" w:rsidP="00D40700">
            <w:pPr>
              <w:numPr>
                <w:ilvl w:val="0"/>
                <w:numId w:val="4"/>
              </w:numPr>
              <w:shd w:val="clear" w:color="auto" w:fill="FFFFFF"/>
              <w:spacing w:before="100" w:beforeAutospacing="1" w:after="90"/>
              <w:rPr>
                <w:rFonts w:eastAsia="Times New Roman"/>
                <w:color w:val="4A4A4A"/>
                <w:sz w:val="17"/>
                <w:szCs w:val="17"/>
                <w:lang w:val="en"/>
              </w:rPr>
            </w:pPr>
            <w:r w:rsidRPr="007A1003">
              <w:rPr>
                <w:rFonts w:eastAsia="Times New Roman"/>
                <w:color w:val="4A4A4A"/>
                <w:sz w:val="24"/>
                <w:szCs w:val="24"/>
                <w:lang w:val="en"/>
              </w:rPr>
              <w:t>E-commerce emergence for alcohol (select states, platforms emerging</w:t>
            </w:r>
            <w:r w:rsidRPr="007A1003">
              <w:rPr>
                <w:rFonts w:eastAsia="Times New Roman"/>
                <w:color w:val="4A4A4A"/>
                <w:sz w:val="24"/>
                <w:szCs w:val="24"/>
                <w:lang w:val="en"/>
              </w:rPr>
              <w:t>)</w:t>
            </w:r>
          </w:p>
        </w:tc>
        <w:tc>
          <w:tcPr>
            <w:tcW w:w="425" w:type="dxa"/>
            <w:gridSpan w:val="2"/>
            <w:tcBorders>
              <w:top w:val="none" w:sz="0" w:space="0" w:color="FFFFFF"/>
              <w:left w:val="none" w:sz="0" w:space="0" w:color="FFFFFF"/>
              <w:bottom w:val="nil"/>
              <w:right w:val="none" w:sz="0" w:space="0" w:color="FFFFFF"/>
            </w:tcBorders>
          </w:tcPr>
          <w:p w14:paraId="1F593F1D" w14:textId="77777777" w:rsidR="00F231CA" w:rsidRDefault="00F231CA"/>
        </w:tc>
        <w:tc>
          <w:tcPr>
            <w:tcW w:w="7938" w:type="dxa"/>
            <w:tcBorders>
              <w:top w:val="single" w:sz="20" w:space="0" w:color="8B6E3D"/>
              <w:left w:val="single" w:sz="20" w:space="0" w:color="8B6E3D"/>
              <w:bottom w:val="nil"/>
              <w:right w:val="single" w:sz="20" w:space="0" w:color="8B6E3D"/>
            </w:tcBorders>
            <w:tcMar>
              <w:top w:w="500" w:type="dxa"/>
              <w:left w:w="300" w:type="dxa"/>
              <w:bottom w:w="300" w:type="dxa"/>
              <w:right w:w="300" w:type="dxa"/>
            </w:tcMar>
          </w:tcPr>
          <w:p w14:paraId="29329335" w14:textId="77777777" w:rsidR="009C3606" w:rsidRPr="007A1003" w:rsidRDefault="009C3606" w:rsidP="00D40700">
            <w:pPr>
              <w:shd w:val="clear" w:color="auto" w:fill="FFFFFF"/>
              <w:rPr>
                <w:rFonts w:ascii="Georgia" w:eastAsia="Times New Roman" w:hAnsi="Georgia"/>
                <w:b/>
                <w:bCs/>
                <w:color w:val="8B6E3D"/>
                <w:sz w:val="24"/>
                <w:szCs w:val="24"/>
                <w:lang w:val="en"/>
              </w:rPr>
            </w:pPr>
            <w:r w:rsidRPr="007A1003">
              <w:rPr>
                <w:rFonts w:ascii="Georgia" w:eastAsia="Times New Roman" w:hAnsi="Georgia"/>
                <w:b/>
                <w:bCs/>
                <w:color w:val="8B6E3D"/>
                <w:sz w:val="24"/>
                <w:szCs w:val="24"/>
                <w:lang w:val="en"/>
              </w:rPr>
              <w:t>Competitive Landscape Reality</w:t>
            </w:r>
          </w:p>
          <w:p w14:paraId="14461626" w14:textId="77777777" w:rsidR="009C3606" w:rsidRPr="007A1003" w:rsidRDefault="009C3606" w:rsidP="00D40700">
            <w:pPr>
              <w:numPr>
                <w:ilvl w:val="0"/>
                <w:numId w:val="5"/>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Dominated by 2-3 major global brands (Jose Cuervo, Patron, Olmeca)</w:t>
            </w:r>
          </w:p>
          <w:p w14:paraId="5FCC64A1" w14:textId="77777777" w:rsidR="009C3606" w:rsidRPr="007A1003" w:rsidRDefault="009C3606" w:rsidP="00D40700">
            <w:pPr>
              <w:numPr>
                <w:ilvl w:val="0"/>
                <w:numId w:val="5"/>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Minimal presence of premium, craft, or terroir-driven tequila brands</w:t>
            </w:r>
          </w:p>
          <w:p w14:paraId="3F3D5080" w14:textId="77777777" w:rsidR="009C3606" w:rsidRPr="007A1003" w:rsidRDefault="009C3606" w:rsidP="00D40700">
            <w:pPr>
              <w:numPr>
                <w:ilvl w:val="0"/>
                <w:numId w:val="5"/>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No strong mezcal category development—wide open opportunity</w:t>
            </w:r>
          </w:p>
          <w:p w14:paraId="2E461A70" w14:textId="77777777" w:rsidR="009C3606" w:rsidRPr="007A1003" w:rsidRDefault="009C3606" w:rsidP="00D40700">
            <w:pPr>
              <w:numPr>
                <w:ilvl w:val="0"/>
                <w:numId w:val="5"/>
              </w:numPr>
              <w:shd w:val="clear" w:color="auto" w:fill="FFFFFF"/>
              <w:spacing w:before="100" w:beforeAutospacing="1" w:after="90"/>
              <w:rPr>
                <w:rFonts w:eastAsia="Times New Roman"/>
                <w:color w:val="4A4A4A"/>
                <w:sz w:val="24"/>
                <w:szCs w:val="24"/>
                <w:lang w:val="en"/>
              </w:rPr>
            </w:pPr>
            <w:r w:rsidRPr="007A1003">
              <w:rPr>
                <w:rFonts w:eastAsia="Times New Roman"/>
                <w:color w:val="4A4A4A"/>
                <w:sz w:val="24"/>
                <w:szCs w:val="24"/>
                <w:lang w:val="en"/>
              </w:rPr>
              <w:t>Price points range USD 26-79, leaving room across segments</w:t>
            </w:r>
          </w:p>
          <w:p w14:paraId="424AA540" w14:textId="754AF0DA" w:rsidR="00F231CA" w:rsidRPr="009C3606" w:rsidRDefault="009C3606" w:rsidP="00D40700">
            <w:pPr>
              <w:numPr>
                <w:ilvl w:val="0"/>
                <w:numId w:val="5"/>
              </w:numPr>
              <w:shd w:val="clear" w:color="auto" w:fill="FFFFFF"/>
              <w:spacing w:before="100" w:beforeAutospacing="1" w:after="90"/>
              <w:rPr>
                <w:rFonts w:eastAsia="Times New Roman"/>
                <w:color w:val="4A4A4A"/>
                <w:sz w:val="17"/>
                <w:szCs w:val="17"/>
                <w:lang w:val="en"/>
              </w:rPr>
            </w:pPr>
            <w:r w:rsidRPr="007A1003">
              <w:rPr>
                <w:rFonts w:eastAsia="Times New Roman"/>
                <w:color w:val="4A4A4A"/>
                <w:sz w:val="24"/>
                <w:szCs w:val="24"/>
                <w:lang w:val="en"/>
              </w:rPr>
              <w:t>Limited brand education = opportunity to shape consumer perception</w:t>
            </w:r>
          </w:p>
        </w:tc>
      </w:tr>
      <w:tr w:rsidR="00F231CA" w14:paraId="5E777BD2" w14:textId="77777777" w:rsidTr="00D40700">
        <w:tblPrEx>
          <w:tblCellMar>
            <w:top w:w="300" w:type="dxa"/>
            <w:bottom w:w="250" w:type="dxa"/>
          </w:tblCellMar>
        </w:tblPrEx>
        <w:trPr>
          <w:trHeight w:val="2491"/>
        </w:trPr>
        <w:tc>
          <w:tcPr>
            <w:tcW w:w="15876" w:type="dxa"/>
            <w:gridSpan w:val="5"/>
            <w:tcBorders>
              <w:top w:val="nil"/>
              <w:left w:val="nil"/>
              <w:bottom w:val="nil"/>
              <w:right w:val="nil"/>
            </w:tcBorders>
            <w:shd w:val="clear" w:color="auto" w:fill="8B6E3D"/>
            <w:tcMar>
              <w:top w:w="300" w:type="dxa"/>
              <w:left w:w="400" w:type="dxa"/>
              <w:bottom w:w="300" w:type="dxa"/>
              <w:right w:w="400" w:type="dxa"/>
            </w:tcMar>
          </w:tcPr>
          <w:p w14:paraId="43D54C7A" w14:textId="48704BE4" w:rsidR="007A1003" w:rsidRPr="007A1003" w:rsidRDefault="007A1003" w:rsidP="007A1003">
            <w:pPr>
              <w:rPr>
                <w:rFonts w:ascii="Georgia" w:eastAsia="Georgia" w:hAnsi="Georgia" w:cs="Georgia"/>
                <w:b/>
                <w:bCs/>
                <w:color w:val="FFFFFF"/>
                <w:sz w:val="28"/>
                <w:szCs w:val="28"/>
              </w:rPr>
            </w:pPr>
            <w:r w:rsidRPr="007A1003">
              <w:rPr>
                <w:rFonts w:ascii="Georgia" w:eastAsia="Georgia" w:hAnsi="Georgia" w:cs="Georgia"/>
                <w:b/>
                <w:bCs/>
                <w:color w:val="FFFFFF"/>
                <w:sz w:val="28"/>
                <w:szCs w:val="28"/>
              </w:rPr>
              <w:t>The Reality Check: Challenges You Must Navigate</w:t>
            </w:r>
          </w:p>
          <w:p w14:paraId="05A6A9B0" w14:textId="77777777" w:rsidR="007A1003" w:rsidRPr="00D40700" w:rsidRDefault="007A1003">
            <w:pPr>
              <w:rPr>
                <w:rFonts w:eastAsia="Georgia"/>
                <w:color w:val="FFFFFF"/>
                <w:sz w:val="22"/>
                <w:szCs w:val="22"/>
              </w:rPr>
            </w:pPr>
            <w:r w:rsidRPr="007A1003">
              <w:rPr>
                <w:rFonts w:eastAsia="Georgia"/>
                <w:color w:val="FFFFFF"/>
                <w:sz w:val="22"/>
                <w:szCs w:val="22"/>
              </w:rPr>
              <w:t>India is not an easy market—but it is a rewarding one for brands that enter strategically. You will face:</w:t>
            </w:r>
          </w:p>
          <w:p w14:paraId="5880B801" w14:textId="02609388" w:rsidR="007A1003" w:rsidRPr="00D40700" w:rsidRDefault="007A1003">
            <w:pPr>
              <w:rPr>
                <w:rFonts w:eastAsia="Georgia"/>
                <w:color w:val="FFFFFF"/>
                <w:sz w:val="22"/>
                <w:szCs w:val="22"/>
              </w:rPr>
            </w:pPr>
            <w:r w:rsidRPr="007A1003">
              <w:rPr>
                <w:rFonts w:eastAsia="Georgia"/>
                <w:color w:val="FFFFFF"/>
                <w:sz w:val="22"/>
                <w:szCs w:val="22"/>
              </w:rPr>
              <w:t xml:space="preserve">(1) Complex state-by-state excise regulations (28 states, 8 union territories, each with distinct rules), </w:t>
            </w:r>
          </w:p>
          <w:p w14:paraId="3537EDC7" w14:textId="77777777" w:rsidR="007A1003" w:rsidRPr="00D40700" w:rsidRDefault="007A1003">
            <w:pPr>
              <w:rPr>
                <w:rFonts w:eastAsia="Georgia"/>
                <w:color w:val="FFFFFF"/>
                <w:sz w:val="22"/>
                <w:szCs w:val="22"/>
              </w:rPr>
            </w:pPr>
            <w:r w:rsidRPr="007A1003">
              <w:rPr>
                <w:rFonts w:eastAsia="Georgia"/>
                <w:color w:val="FFFFFF"/>
                <w:sz w:val="22"/>
                <w:szCs w:val="22"/>
              </w:rPr>
              <w:t xml:space="preserve">(2) High import duties (150% base + state excise 30-100%), </w:t>
            </w:r>
          </w:p>
          <w:p w14:paraId="354457CB" w14:textId="77777777" w:rsidR="007A1003" w:rsidRPr="00D40700" w:rsidRDefault="007A1003">
            <w:pPr>
              <w:rPr>
                <w:rFonts w:eastAsia="Georgia"/>
                <w:color w:val="FFFFFF"/>
                <w:sz w:val="22"/>
                <w:szCs w:val="22"/>
              </w:rPr>
            </w:pPr>
            <w:r w:rsidRPr="007A1003">
              <w:rPr>
                <w:rFonts w:eastAsia="Georgia"/>
                <w:color w:val="FFFFFF"/>
                <w:sz w:val="22"/>
                <w:szCs w:val="22"/>
              </w:rPr>
              <w:t xml:space="preserve">(3) Advertising restrictions (no TV/print since 2008, creativity required), </w:t>
            </w:r>
          </w:p>
          <w:p w14:paraId="11FA7A56" w14:textId="77777777" w:rsidR="007A1003" w:rsidRPr="00D40700" w:rsidRDefault="007A1003">
            <w:pPr>
              <w:rPr>
                <w:rFonts w:eastAsia="Georgia"/>
                <w:color w:val="FFFFFF"/>
                <w:sz w:val="22"/>
                <w:szCs w:val="22"/>
              </w:rPr>
            </w:pPr>
            <w:r w:rsidRPr="007A1003">
              <w:rPr>
                <w:rFonts w:eastAsia="Georgia"/>
                <w:color w:val="FFFFFF"/>
                <w:sz w:val="22"/>
                <w:szCs w:val="22"/>
              </w:rPr>
              <w:t xml:space="preserve">(4) Fragmented distribution (relationships and local expertise critical), </w:t>
            </w:r>
          </w:p>
          <w:p w14:paraId="5164F624" w14:textId="77777777" w:rsidR="007A1003" w:rsidRPr="00D40700" w:rsidRDefault="007A1003">
            <w:pPr>
              <w:rPr>
                <w:rFonts w:eastAsia="Georgia"/>
                <w:color w:val="FFFFFF"/>
                <w:sz w:val="22"/>
                <w:szCs w:val="22"/>
              </w:rPr>
            </w:pPr>
            <w:r w:rsidRPr="007A1003">
              <w:rPr>
                <w:rFonts w:eastAsia="Georgia"/>
                <w:color w:val="FFFFFF"/>
                <w:sz w:val="22"/>
                <w:szCs w:val="22"/>
              </w:rPr>
              <w:t>(5) Long sales cycles (hospitality placements and</w:t>
            </w:r>
            <w:r w:rsidRPr="00D40700">
              <w:rPr>
                <w:rFonts w:eastAsia="Georgia"/>
                <w:color w:val="FFFFFF"/>
                <w:sz w:val="22"/>
                <w:szCs w:val="22"/>
              </w:rPr>
              <w:t xml:space="preserve"> </w:t>
            </w:r>
            <w:r w:rsidRPr="007A1003">
              <w:rPr>
                <w:rFonts w:eastAsia="Georgia"/>
                <w:color w:val="FFFFFF"/>
                <w:sz w:val="22"/>
                <w:szCs w:val="22"/>
              </w:rPr>
              <w:t>distributor onboarding take time). </w:t>
            </w:r>
          </w:p>
          <w:p w14:paraId="243ABA46" w14:textId="77777777" w:rsidR="007A1003" w:rsidRPr="00D40700" w:rsidRDefault="007A1003">
            <w:pPr>
              <w:rPr>
                <w:rFonts w:eastAsia="Georgia"/>
                <w:color w:val="FFFFFF"/>
                <w:sz w:val="22"/>
                <w:szCs w:val="22"/>
              </w:rPr>
            </w:pPr>
          </w:p>
          <w:p w14:paraId="4BCBA4A0" w14:textId="2943AC6E" w:rsidR="00F231CA" w:rsidRPr="007A1003" w:rsidRDefault="007A1003">
            <w:pPr>
              <w:rPr>
                <w:rFonts w:ascii="Georgia" w:eastAsia="Georgia" w:hAnsi="Georgia" w:cs="Georgia"/>
                <w:color w:val="FFFFFF"/>
                <w:sz w:val="16"/>
                <w:szCs w:val="16"/>
              </w:rPr>
            </w:pPr>
            <w:r w:rsidRPr="007A1003">
              <w:rPr>
                <w:rFonts w:eastAsia="Georgia"/>
                <w:color w:val="FFFFFF"/>
                <w:sz w:val="22"/>
                <w:szCs w:val="22"/>
              </w:rPr>
              <w:t>This is precisely why institutional support through MIBC matters—</w:t>
            </w:r>
            <w:proofErr w:type="gramStart"/>
            <w:r w:rsidRPr="007A1003">
              <w:rPr>
                <w:rFonts w:eastAsia="Georgia"/>
                <w:color w:val="FFFFFF"/>
                <w:sz w:val="22"/>
                <w:szCs w:val="22"/>
              </w:rPr>
              <w:t>we've</w:t>
            </w:r>
            <w:proofErr w:type="gramEnd"/>
            <w:r w:rsidRPr="007A1003">
              <w:rPr>
                <w:rFonts w:eastAsia="Georgia"/>
                <w:color w:val="FFFFFF"/>
                <w:sz w:val="22"/>
                <w:szCs w:val="22"/>
              </w:rPr>
              <w:t xml:space="preserve"> navigated these challenges for 15 years across México, Canada, and India.</w:t>
            </w:r>
          </w:p>
        </w:tc>
      </w:tr>
      <w:tr w:rsidR="00F231CA" w14:paraId="54FDDAE1" w14:textId="77777777" w:rsidTr="00D40700">
        <w:trPr>
          <w:trHeight w:val="1587"/>
        </w:trPr>
        <w:tc>
          <w:tcPr>
            <w:tcW w:w="7797" w:type="dxa"/>
            <w:gridSpan w:val="3"/>
            <w:tcBorders>
              <w:top w:val="nil"/>
              <w:left w:val="none" w:sz="0" w:space="0" w:color="FFFFFF"/>
              <w:bottom w:val="none" w:sz="0" w:space="0" w:color="FFFFFF"/>
              <w:right w:val="none" w:sz="0" w:space="0" w:color="FFFFFF"/>
            </w:tcBorders>
            <w:shd w:val="clear" w:color="auto" w:fill="1A1A2E"/>
            <w:tcMar>
              <w:top w:w="300" w:type="dxa"/>
              <w:left w:w="500" w:type="dxa"/>
              <w:bottom w:w="300" w:type="dxa"/>
              <w:right w:w="400" w:type="dxa"/>
            </w:tcMar>
          </w:tcPr>
          <w:p w14:paraId="7060BCE4" w14:textId="4EC8B2FB" w:rsidR="006F7089" w:rsidRPr="006F7089" w:rsidRDefault="00E97323" w:rsidP="00E97323">
            <w:pPr>
              <w:spacing w:after="120"/>
              <w:rPr>
                <w:rFonts w:ascii="Georgia" w:eastAsia="Georgia" w:hAnsi="Georgia" w:cs="Georgia"/>
                <w:b/>
                <w:bCs/>
                <w:color w:val="FFFFFF"/>
                <w:sz w:val="20"/>
                <w:szCs w:val="20"/>
              </w:rPr>
            </w:pPr>
            <w:r w:rsidRPr="00E97323">
              <w:rPr>
                <w:rFonts w:ascii="Georgia" w:eastAsia="Georgia" w:hAnsi="Georgia" w:cs="Georgia"/>
                <w:b/>
                <w:bCs/>
                <w:color w:val="FFFFFF"/>
                <w:sz w:val="20"/>
                <w:szCs w:val="20"/>
              </w:rPr>
              <w:t>Why Enter Now? The Timing Advantage</w:t>
            </w:r>
          </w:p>
          <w:p w14:paraId="2BF2B153" w14:textId="78F13889" w:rsidR="006F7089" w:rsidRPr="006F7089" w:rsidRDefault="006F7089" w:rsidP="006F7089">
            <w:pPr>
              <w:spacing w:after="120"/>
              <w:rPr>
                <w:rFonts w:eastAsia="Georgia"/>
                <w:color w:val="FFFFFF"/>
                <w:sz w:val="20"/>
                <w:szCs w:val="20"/>
              </w:rPr>
            </w:pPr>
            <w:r w:rsidRPr="00E97323">
              <w:rPr>
                <w:rFonts w:eastAsia="Georgia"/>
                <w:b/>
                <w:bCs/>
                <w:color w:val="FFFFFF"/>
                <w:sz w:val="20"/>
                <w:szCs w:val="20"/>
              </w:rPr>
              <w:t>Early-Mover Positioning: </w:t>
            </w:r>
            <w:r w:rsidRPr="00E97323">
              <w:rPr>
                <w:rFonts w:eastAsia="Georgia"/>
                <w:color w:val="FFFFFF"/>
                <w:sz w:val="20"/>
                <w:szCs w:val="20"/>
              </w:rPr>
              <w:t>Define tequila standards before market matures</w:t>
            </w:r>
            <w:r w:rsidRPr="006F7089">
              <w:rPr>
                <w:rFonts w:eastAsia="Georgia"/>
                <w:color w:val="FFFFFF"/>
                <w:sz w:val="20"/>
                <w:szCs w:val="20"/>
              </w:rPr>
              <w:t>.</w:t>
            </w:r>
          </w:p>
          <w:p w14:paraId="5E3F5751" w14:textId="0D2A545A" w:rsidR="006F7089" w:rsidRPr="006F7089" w:rsidRDefault="006F7089" w:rsidP="006F7089">
            <w:pPr>
              <w:spacing w:after="120"/>
              <w:rPr>
                <w:rFonts w:eastAsia="Georgia"/>
                <w:color w:val="FFFFFF"/>
                <w:sz w:val="20"/>
                <w:szCs w:val="20"/>
              </w:rPr>
            </w:pPr>
            <w:r w:rsidRPr="00E97323">
              <w:rPr>
                <w:rFonts w:eastAsia="Georgia"/>
                <w:b/>
                <w:bCs/>
                <w:color w:val="FFFFFF"/>
                <w:sz w:val="20"/>
                <w:szCs w:val="20"/>
              </w:rPr>
              <w:t>Hospitality Boom: </w:t>
            </w:r>
            <w:r w:rsidRPr="00E97323">
              <w:rPr>
                <w:rFonts w:eastAsia="Georgia"/>
                <w:color w:val="FFFFFF"/>
                <w:sz w:val="20"/>
                <w:szCs w:val="20"/>
              </w:rPr>
              <w:t>Luxury hotel and F&amp;B expansion accelerating post-pandemic</w:t>
            </w:r>
          </w:p>
          <w:p w14:paraId="348325D6" w14:textId="78455E51" w:rsidR="006F7089" w:rsidRPr="006F7089" w:rsidRDefault="006F7089" w:rsidP="006F7089">
            <w:pPr>
              <w:spacing w:after="120"/>
              <w:rPr>
                <w:rFonts w:eastAsia="Georgia"/>
                <w:b/>
                <w:bCs/>
                <w:color w:val="FFFFFF"/>
                <w:sz w:val="20"/>
                <w:szCs w:val="20"/>
              </w:rPr>
            </w:pPr>
            <w:r w:rsidRPr="00E97323">
              <w:rPr>
                <w:rFonts w:eastAsia="Georgia"/>
                <w:b/>
                <w:bCs/>
                <w:color w:val="FFFFFF"/>
                <w:sz w:val="20"/>
                <w:szCs w:val="20"/>
              </w:rPr>
              <w:t>Cultural Curiosity: </w:t>
            </w:r>
            <w:r w:rsidRPr="00E97323">
              <w:rPr>
                <w:rFonts w:eastAsia="Georgia"/>
                <w:color w:val="FFFFFF"/>
                <w:sz w:val="20"/>
                <w:szCs w:val="20"/>
              </w:rPr>
              <w:t>Mexican cuisine, culture gaining visibility in urban India</w:t>
            </w:r>
            <w:r>
              <w:rPr>
                <w:rFonts w:eastAsia="Georgia"/>
                <w:b/>
                <w:bCs/>
                <w:color w:val="FFFFFF"/>
                <w:sz w:val="20"/>
                <w:szCs w:val="20"/>
              </w:rPr>
              <w:t>.</w:t>
            </w:r>
          </w:p>
        </w:tc>
        <w:tc>
          <w:tcPr>
            <w:tcW w:w="8079" w:type="dxa"/>
            <w:gridSpan w:val="2"/>
            <w:tcBorders>
              <w:top w:val="nil"/>
              <w:left w:val="none" w:sz="0" w:space="0" w:color="FFFFFF"/>
              <w:bottom w:val="none" w:sz="0" w:space="0" w:color="FFFFFF"/>
              <w:right w:val="none" w:sz="0" w:space="0" w:color="FFFFFF"/>
            </w:tcBorders>
            <w:shd w:val="clear" w:color="auto" w:fill="1A1A2E"/>
            <w:tcMar>
              <w:top w:w="300" w:type="dxa"/>
              <w:left w:w="200" w:type="dxa"/>
              <w:bottom w:w="300" w:type="dxa"/>
              <w:right w:w="500" w:type="dxa"/>
            </w:tcMar>
          </w:tcPr>
          <w:p w14:paraId="1CDE7775" w14:textId="77777777" w:rsidR="00E97323" w:rsidRPr="006F7089" w:rsidRDefault="00E97323" w:rsidP="00AD0719">
            <w:pPr>
              <w:rPr>
                <w:sz w:val="20"/>
                <w:szCs w:val="20"/>
              </w:rPr>
            </w:pPr>
          </w:p>
          <w:p w14:paraId="51C806C2" w14:textId="4A3B5BC2" w:rsidR="00AD0719" w:rsidRPr="006F7089" w:rsidRDefault="00E97323" w:rsidP="006F7089">
            <w:pPr>
              <w:spacing w:after="120"/>
              <w:rPr>
                <w:rFonts w:eastAsia="Georgia"/>
                <w:color w:val="FFFFFF"/>
                <w:sz w:val="20"/>
                <w:szCs w:val="20"/>
              </w:rPr>
            </w:pPr>
            <w:r w:rsidRPr="00E97323">
              <w:rPr>
                <w:rFonts w:eastAsia="Georgia"/>
                <w:b/>
                <w:bCs/>
                <w:color w:val="FFFFFF"/>
                <w:sz w:val="20"/>
                <w:szCs w:val="20"/>
              </w:rPr>
              <w:t>Distribution Availability: </w:t>
            </w:r>
            <w:r w:rsidRPr="00E97323">
              <w:rPr>
                <w:rFonts w:eastAsia="Georgia"/>
                <w:color w:val="FFFFFF"/>
                <w:sz w:val="20"/>
                <w:szCs w:val="20"/>
              </w:rPr>
              <w:t>Premium importers actively seeking new brands</w:t>
            </w:r>
          </w:p>
          <w:p w14:paraId="299A9E7F" w14:textId="435DEE42" w:rsidR="00AD0719" w:rsidRPr="006F7089" w:rsidRDefault="00E97323" w:rsidP="006F7089">
            <w:pPr>
              <w:spacing w:after="120"/>
              <w:rPr>
                <w:rFonts w:eastAsia="Georgia"/>
                <w:color w:val="FFFFFF"/>
                <w:sz w:val="20"/>
                <w:szCs w:val="20"/>
              </w:rPr>
            </w:pPr>
            <w:r w:rsidRPr="00E97323">
              <w:rPr>
                <w:rFonts w:eastAsia="Georgia"/>
                <w:b/>
                <w:bCs/>
                <w:color w:val="FFFFFF"/>
                <w:sz w:val="20"/>
                <w:szCs w:val="20"/>
              </w:rPr>
              <w:t>Trade Agreements: </w:t>
            </w:r>
            <w:r w:rsidRPr="00E97323">
              <w:rPr>
                <w:rFonts w:eastAsia="Georgia"/>
                <w:color w:val="FFFFFF"/>
                <w:sz w:val="20"/>
                <w:szCs w:val="20"/>
              </w:rPr>
              <w:t>India-Mexico bilateral trade growing, government support increasing</w:t>
            </w:r>
          </w:p>
          <w:p w14:paraId="49838122" w14:textId="517E9AE1" w:rsidR="00D40700" w:rsidRPr="00D40700" w:rsidRDefault="00E97323" w:rsidP="00D40700">
            <w:pPr>
              <w:spacing w:after="120"/>
              <w:rPr>
                <w:rFonts w:eastAsia="Georgia"/>
                <w:b/>
                <w:bCs/>
                <w:color w:val="FFFFFF"/>
                <w:sz w:val="20"/>
                <w:szCs w:val="20"/>
              </w:rPr>
            </w:pPr>
            <w:r w:rsidRPr="00E97323">
              <w:rPr>
                <w:rFonts w:eastAsia="Georgia"/>
                <w:b/>
                <w:bCs/>
                <w:color w:val="FFFFFF"/>
                <w:sz w:val="20"/>
                <w:szCs w:val="20"/>
              </w:rPr>
              <w:t>Price Insensitivity: </w:t>
            </w:r>
            <w:r w:rsidRPr="00E97323">
              <w:rPr>
                <w:rFonts w:eastAsia="Georgia"/>
                <w:color w:val="FFFFFF"/>
                <w:sz w:val="20"/>
                <w:szCs w:val="20"/>
              </w:rPr>
              <w:t>Premium segment willing to pay for authenticity and quality</w:t>
            </w:r>
            <w:r w:rsidR="00D40700">
              <w:rPr>
                <w:rFonts w:eastAsia="Georgia"/>
                <w:color w:val="FFFFFF"/>
                <w:sz w:val="20"/>
                <w:szCs w:val="20"/>
              </w:rPr>
              <w:t>.</w:t>
            </w:r>
          </w:p>
        </w:tc>
      </w:tr>
      <w:tr w:rsidR="006F7089" w14:paraId="6A2D652C" w14:textId="77777777" w:rsidTr="00D40700">
        <w:trPr>
          <w:trHeight w:val="227"/>
        </w:trPr>
        <w:tc>
          <w:tcPr>
            <w:tcW w:w="15876" w:type="dxa"/>
            <w:gridSpan w:val="5"/>
            <w:tcBorders>
              <w:top w:val="none" w:sz="0" w:space="0" w:color="FFFFFF"/>
              <w:left w:val="none" w:sz="0" w:space="0" w:color="FFFFFF"/>
              <w:bottom w:val="none" w:sz="0" w:space="0" w:color="FFFFFF"/>
              <w:right w:val="none" w:sz="0" w:space="0" w:color="FFFFFF"/>
            </w:tcBorders>
            <w:shd w:val="clear" w:color="auto" w:fill="F9F7F4"/>
            <w:tcMar>
              <w:top w:w="300" w:type="dxa"/>
              <w:left w:w="500" w:type="dxa"/>
              <w:bottom w:w="300" w:type="dxa"/>
              <w:right w:w="400" w:type="dxa"/>
            </w:tcMar>
          </w:tcPr>
          <w:p w14:paraId="3991A51A" w14:textId="77777777" w:rsidR="006F7089" w:rsidRPr="00D40700" w:rsidRDefault="006F7089" w:rsidP="006F7089">
            <w:pPr>
              <w:spacing w:after="120"/>
              <w:jc w:val="center"/>
              <w:rPr>
                <w:rFonts w:ascii="Georgia" w:eastAsia="Georgia" w:hAnsi="Georgia"/>
                <w:b/>
                <w:bCs/>
                <w:color w:val="00204F"/>
                <w:sz w:val="28"/>
                <w:szCs w:val="28"/>
              </w:rPr>
            </w:pPr>
            <w:r w:rsidRPr="006F7089">
              <w:rPr>
                <w:rFonts w:ascii="Georgia" w:eastAsia="Georgia" w:hAnsi="Georgia"/>
                <w:b/>
                <w:bCs/>
                <w:color w:val="00204F"/>
                <w:sz w:val="28"/>
                <w:szCs w:val="28"/>
              </w:rPr>
              <w:t>The Strategic Opportunity: Build Now, Scale Later</w:t>
            </w:r>
          </w:p>
          <w:p w14:paraId="3794FFFD" w14:textId="5451ADC5" w:rsidR="006F7089" w:rsidRPr="00D40700" w:rsidRDefault="006F7089" w:rsidP="00D40700">
            <w:pPr>
              <w:spacing w:after="120"/>
              <w:jc w:val="center"/>
              <w:rPr>
                <w:rFonts w:eastAsia="Georgia"/>
                <w:color w:val="00204F"/>
                <w:sz w:val="20"/>
                <w:szCs w:val="20"/>
              </w:rPr>
            </w:pPr>
            <w:r w:rsidRPr="006F7089">
              <w:rPr>
                <w:rFonts w:eastAsia="Georgia"/>
                <w:color w:val="00204F"/>
                <w:sz w:val="20"/>
                <w:szCs w:val="20"/>
              </w:rPr>
              <w:t>India rewards patient, committed brands that invest in relationships, education, and quality positioning. The brands entering now—with proper institutional support, compliance expertise, and authentic storytelling—will establish category leadership as the market scales. By 2034, India's alcoholic beverages market will exceed USD 68 billion. The question is not whether tequila will grow in India—it will. The question is whether your brand will be positioned to capture that growth</w:t>
            </w:r>
            <w:r w:rsidR="00D40700">
              <w:rPr>
                <w:rFonts w:eastAsia="Georgia"/>
                <w:color w:val="00204F"/>
                <w:sz w:val="20"/>
                <w:szCs w:val="20"/>
              </w:rPr>
              <w:t>.</w:t>
            </w:r>
          </w:p>
        </w:tc>
      </w:tr>
    </w:tbl>
    <w:p w14:paraId="77C3D8EA" w14:textId="444CCDEB" w:rsidR="00AD0719" w:rsidRDefault="00D40700" w:rsidP="00D40700">
      <w:pPr>
        <w:shd w:val="clear" w:color="auto" w:fill="F9F7F4"/>
        <w:tabs>
          <w:tab w:val="left" w:pos="6800"/>
        </w:tabs>
        <w:jc w:val="center"/>
        <w:rPr>
          <w:b/>
          <w:bCs/>
          <w:color w:val="00204F"/>
        </w:rPr>
      </w:pPr>
      <w:r w:rsidRPr="00D40700">
        <w:rPr>
          <w:b/>
          <w:bCs/>
          <w:color w:val="00204F"/>
        </w:rPr>
        <w:t>MÉXICO–INDIA BUSINESS COUNCIL</w:t>
      </w:r>
    </w:p>
    <w:p w14:paraId="3DC2DF34" w14:textId="17223B5F" w:rsidR="00D40700" w:rsidRPr="00D40700" w:rsidRDefault="00D40700" w:rsidP="00D40700">
      <w:pPr>
        <w:shd w:val="clear" w:color="auto" w:fill="F9F7F4"/>
        <w:tabs>
          <w:tab w:val="left" w:pos="6800"/>
        </w:tabs>
        <w:jc w:val="center"/>
        <w:rPr>
          <w:i/>
          <w:iCs/>
        </w:rPr>
      </w:pPr>
      <w:r w:rsidRPr="00D40700">
        <w:rPr>
          <w:i/>
          <w:iCs/>
          <w:color w:val="00204F"/>
        </w:rPr>
        <w:t>Bridging Two Emerging Giants.</w:t>
      </w:r>
    </w:p>
    <w:sectPr w:rsidR="00D40700" w:rsidRPr="00D40700" w:rsidSect="007A1003">
      <w:pgSz w:w="15840" w:h="24480" w:code="3"/>
      <w:pgMar w:top="0" w:right="0" w:bottom="0" w:left="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E1E90"/>
    <w:multiLevelType w:val="multilevel"/>
    <w:tmpl w:val="59B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A2805"/>
    <w:multiLevelType w:val="multilevel"/>
    <w:tmpl w:val="E470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D6550"/>
    <w:multiLevelType w:val="hybridMultilevel"/>
    <w:tmpl w:val="FBE8AA74"/>
    <w:lvl w:ilvl="0" w:tplc="B64024D8">
      <w:start w:val="1"/>
      <w:numFmt w:val="bullet"/>
      <w:lvlText w:val="●"/>
      <w:lvlJc w:val="left"/>
      <w:pPr>
        <w:ind w:left="720" w:hanging="360"/>
      </w:pPr>
    </w:lvl>
    <w:lvl w:ilvl="1" w:tplc="E3D64952">
      <w:start w:val="1"/>
      <w:numFmt w:val="bullet"/>
      <w:lvlText w:val="○"/>
      <w:lvlJc w:val="left"/>
      <w:pPr>
        <w:ind w:left="1440" w:hanging="360"/>
      </w:pPr>
    </w:lvl>
    <w:lvl w:ilvl="2" w:tplc="1F880A30">
      <w:start w:val="1"/>
      <w:numFmt w:val="bullet"/>
      <w:lvlText w:val="■"/>
      <w:lvlJc w:val="left"/>
      <w:pPr>
        <w:ind w:left="2160" w:hanging="360"/>
      </w:pPr>
    </w:lvl>
    <w:lvl w:ilvl="3" w:tplc="4E4AEB3C">
      <w:start w:val="1"/>
      <w:numFmt w:val="bullet"/>
      <w:lvlText w:val="●"/>
      <w:lvlJc w:val="left"/>
      <w:pPr>
        <w:ind w:left="2880" w:hanging="360"/>
      </w:pPr>
    </w:lvl>
    <w:lvl w:ilvl="4" w:tplc="DDFA5934">
      <w:start w:val="1"/>
      <w:numFmt w:val="bullet"/>
      <w:lvlText w:val="○"/>
      <w:lvlJc w:val="left"/>
      <w:pPr>
        <w:ind w:left="3600" w:hanging="360"/>
      </w:pPr>
    </w:lvl>
    <w:lvl w:ilvl="5" w:tplc="A7ACE70A">
      <w:start w:val="1"/>
      <w:numFmt w:val="bullet"/>
      <w:lvlText w:val="■"/>
      <w:lvlJc w:val="left"/>
      <w:pPr>
        <w:ind w:left="4320" w:hanging="360"/>
      </w:pPr>
    </w:lvl>
    <w:lvl w:ilvl="6" w:tplc="0C78C98E">
      <w:start w:val="1"/>
      <w:numFmt w:val="bullet"/>
      <w:lvlText w:val="●"/>
      <w:lvlJc w:val="left"/>
      <w:pPr>
        <w:ind w:left="5040" w:hanging="360"/>
      </w:pPr>
    </w:lvl>
    <w:lvl w:ilvl="7" w:tplc="D28E13A4">
      <w:start w:val="1"/>
      <w:numFmt w:val="bullet"/>
      <w:lvlText w:val="●"/>
      <w:lvlJc w:val="left"/>
      <w:pPr>
        <w:ind w:left="5760" w:hanging="360"/>
      </w:pPr>
    </w:lvl>
    <w:lvl w:ilvl="8" w:tplc="D19849E6">
      <w:start w:val="1"/>
      <w:numFmt w:val="bullet"/>
      <w:lvlText w:val="●"/>
      <w:lvlJc w:val="left"/>
      <w:pPr>
        <w:ind w:left="6480" w:hanging="360"/>
      </w:pPr>
    </w:lvl>
  </w:abstractNum>
  <w:abstractNum w:abstractNumId="3" w15:restartNumberingAfterBreak="0">
    <w:nsid w:val="494E7456"/>
    <w:multiLevelType w:val="multilevel"/>
    <w:tmpl w:val="AE8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961A01"/>
    <w:multiLevelType w:val="multilevel"/>
    <w:tmpl w:val="8CA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128201">
    <w:abstractNumId w:val="2"/>
    <w:lvlOverride w:ilvl="0">
      <w:startOverride w:val="1"/>
    </w:lvlOverride>
  </w:num>
  <w:num w:numId="2" w16cid:durableId="1211304770">
    <w:abstractNumId w:val="3"/>
  </w:num>
  <w:num w:numId="3" w16cid:durableId="871066892">
    <w:abstractNumId w:val="1"/>
  </w:num>
  <w:num w:numId="4" w16cid:durableId="1713382994">
    <w:abstractNumId w:val="0"/>
  </w:num>
  <w:num w:numId="5" w16cid:durableId="800658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1CA"/>
    <w:rsid w:val="00032379"/>
    <w:rsid w:val="0024374F"/>
    <w:rsid w:val="002A02E2"/>
    <w:rsid w:val="006315D4"/>
    <w:rsid w:val="006F7089"/>
    <w:rsid w:val="007A1003"/>
    <w:rsid w:val="007B4CA4"/>
    <w:rsid w:val="009C3606"/>
    <w:rsid w:val="00A426B2"/>
    <w:rsid w:val="00AD0719"/>
    <w:rsid w:val="00D40700"/>
    <w:rsid w:val="00E97323"/>
    <w:rsid w:val="00EC1409"/>
    <w:rsid w:val="00F231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72B3"/>
  <w15:docId w15:val="{5FDC2A38-51DF-42B1-97EE-FF5E394F4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C1409"/>
    <w:rPr>
      <w:color w:val="605E5C"/>
      <w:shd w:val="clear" w:color="auto" w:fill="E1DFDD"/>
    </w:rPr>
  </w:style>
  <w:style w:type="table" w:styleId="TableGrid">
    <w:name w:val="Table Grid"/>
    <w:basedOn w:val="TableNormal"/>
    <w:uiPriority w:val="39"/>
    <w:rsid w:val="00A426B2"/>
    <w:rPr>
      <w:rFonts w:ascii="Times New Roman" w:eastAsia="Times New Roman" w:hAnsi="Times New Roman" w:cs="Times New Roman"/>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36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yogini jain</cp:lastModifiedBy>
  <cp:revision>6</cp:revision>
  <cp:lastPrinted>2026-02-15T10:31:00Z</cp:lastPrinted>
  <dcterms:created xsi:type="dcterms:W3CDTF">2026-02-09T12:08:00Z</dcterms:created>
  <dcterms:modified xsi:type="dcterms:W3CDTF">2026-02-15T10:31:00Z</dcterms:modified>
</cp:coreProperties>
</file>