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br/>
        <w:br/>
        <w:t xml:space="preserve"/>
      </w:r>
    </w:p>
    <w:p>
      <w:pPr>
        <w:spacing w:after="200"/>
        <w:jc w:val="center"/>
      </w:pPr>
      <w:r>
        <w:rPr>
          <w:b/>
          <w:bCs/>
          <w:color w:val="1F6FEB"/>
          <w:sz w:val="56"/>
          <w:szCs w:val="56"/>
        </w:rPr>
        <w:t xml:space="preserve">MIS Automation Dashboard</w:t>
      </w:r>
    </w:p>
    <w:p>
      <w:pPr>
        <w:spacing w:after="400"/>
        <w:jc w:val="center"/>
      </w:pPr>
      <w:r>
        <w:rPr>
          <w:i/>
          <w:iCs/>
          <w:color w:val="64748B"/>
          <w:sz w:val="30"/>
          <w:szCs w:val="30"/>
        </w:rPr>
        <w:t xml:space="preserve">Automated KPI Reporting with Python, SQL and Power BI</w:t>
      </w:r>
    </w:p>
    <w:p>
      <w:pPr>
        <w:spacing w:after="120"/>
        <w:jc w:val="center"/>
      </w:pPr>
      <w:r>
        <w:rPr>
          <w:b/>
          <w:bCs/>
          <w:color w:val="1E293B"/>
          <w:sz w:val="26"/>
          <w:szCs w:val="26"/>
        </w:rPr>
        <w:t xml:space="preserve">Technical Project Report</w:t>
      </w:r>
    </w:p>
    <w:p>
      <w:pPr>
        <w:spacing w:after="120"/>
        <w:jc w:val="center"/>
      </w:pPr>
      <w:r>
        <w:rPr>
          <w:color w:val="64748B"/>
          <w:sz w:val="24"/>
          <w:szCs w:val="24"/>
        </w:rPr>
        <w:t xml:space="preserve">Stack: Python (pandas) · PostgreSQL · Power BI</w:t>
      </w:r>
    </w:p>
    <w:p>
      <w:pPr>
        <w:spacing w:after="600"/>
        <w:jc w:val="center"/>
      </w:pPr>
      <w:r>
        <w:rPr>
          <w:color w:val="64748B"/>
          <w:sz w:val="24"/>
          <w:szCs w:val="24"/>
        </w:rPr>
        <w:t xml:space="preserve">Data Period: January – March 2026  |  Records Analysed: 440</w:t>
      </w:r>
    </w:p>
    <w:p>
      <w:r>
        <w:br w:type="page"/>
      </w:r>
    </w:p>
    <w:p>
      <w:pPr>
        <w:pStyle w:val="Heading1"/>
        <w:spacing w:after="120" w:before="300"/>
        <w:rPr>
          <w:color w:val="1E293B"/>
        </w:rPr>
      </w:pPr>
      <w:r>
        <w:t xml:space="preserve">Abstract</w:t>
      </w:r>
    </w:p>
    <w:p>
      <w:pPr>
        <w:spacing w:after="80" w:before="80"/>
        <w:jc w:val="both"/>
      </w:pPr>
      <w:r>
        <w:rPr>
          <w:color w:val="1E293B"/>
          <w:sz w:val="24"/>
          <w:szCs w:val="24"/>
        </w:rPr>
        <w:t xml:space="preserve">This report documents the design, implementation, and findings of the MIS Automation Dashboard project — an end-to-end data pipeline built to replace a manual, multi-source reporting process with an automated ETL workflow, a structured SQL data model, and an interactive Power BI dashboard. The project ingests service-request ticket data from three organisational departments (Operations, Finance, and IT), each exporting data in inconsistent formats, and consolidates them into a single fact table with standardised KPIs including Turnaround Time (TAT), SLA compliance rate, and variance analysis. Across the January–March 2026 study period, the pipeline processed 440 tickets and measured an overall SLA compliance rate of 74.9%, with Operations achieving the highest compliance at 80.4% and IT trailing at 70.7%. The findings demonstrate that automation of the MIS report cycle eliminates manual consolidation effort, reduces reporting error, and surfaces actionable departmental and agent-level performance insights for stakeholder management.</w:t>
      </w:r>
    </w:p>
    <w:p>
      <w:r>
        <w:br w:type="page"/>
      </w:r>
    </w:p>
    <w:p>
      <w:pPr>
        <w:pStyle w:val="Heading1"/>
        <w:spacing w:after="120" w:before="300"/>
        <w:rPr>
          <w:color w:val="1E293B"/>
        </w:rPr>
      </w:pPr>
      <w:r>
        <w:t xml:space="preserve">1. Introduction</w:t>
      </w:r>
    </w:p>
    <w:p>
      <w:pPr>
        <w:spacing w:after="80" w:before="80"/>
        <w:jc w:val="both"/>
      </w:pPr>
      <w:r>
        <w:rPr>
          <w:color w:val="1E293B"/>
          <w:sz w:val="24"/>
          <w:szCs w:val="24"/>
        </w:rPr>
        <w:t xml:space="preserve">Management Information Systems (MIS) reporting is a critical function in operational organisations, providing decision-makers with timely, accurate performance data. In many organisations, however, MIS reporting remains a heavily manual process: analysts open multiple department-level exports, copy data into a master spreadsheet, apply formulas, and rebuild charts — a cycle repeated daily or weekly that is slow, error-prone, and difficult to audit.</w:t>
      </w:r>
    </w:p>
    <w:p>
      <w:pPr>
        <w:spacing w:after="80" w:before="80"/>
        <w:jc w:val="both"/>
      </w:pPr>
      <w:r>
        <w:rPr>
          <w:color w:val="1E293B"/>
          <w:sz w:val="24"/>
          <w:szCs w:val="24"/>
        </w:rPr>
        <w:t xml:space="preserve">This project addresses that problem directly. The MIS Automation Dashboard automates the full reporting cycle from raw data ingestion to stakeholder-facing visualisation, using three widely adopted tools in the data analyst and data engineering space: Python for data consolidation and transformation, PostgreSQL for structured KPI storage and view-based data modelling, and Power BI for interactive dashboard delivery.</w:t>
      </w:r>
    </w:p>
    <w:p>
      <w:pPr>
        <w:pStyle w:val="Heading2"/>
        <w:spacing w:after="120" w:before="300"/>
        <w:rPr>
          <w:color w:val="1E293B"/>
        </w:rPr>
      </w:pPr>
      <w:r>
        <w:t xml:space="preserve">1.1 Project Objectives</w:t>
      </w:r>
    </w:p>
    <w:p>
      <w:pPr>
        <w:pStyle w:val="ListParagraph"/>
        <w:numPr>
          <w:ilvl w:val="0"/>
          <w:numId w:val="1"/>
        </w:numPr>
        <w:spacing w:after="60" w:before="60"/>
      </w:pPr>
      <w:r>
        <w:rPr>
          <w:color w:val="1E293B"/>
          <w:sz w:val="24"/>
          <w:szCs w:val="24"/>
        </w:rPr>
        <w:t xml:space="preserve">Automate the consolidation of heterogeneous, multi-department ticket data into a single clean fact table</w:t>
      </w:r>
    </w:p>
    <w:p>
      <w:pPr>
        <w:pStyle w:val="ListParagraph"/>
        <w:numPr>
          <w:ilvl w:val="0"/>
          <w:numId w:val="1"/>
        </w:numPr>
        <w:spacing w:after="60" w:before="60"/>
      </w:pPr>
      <w:r>
        <w:rPr>
          <w:color w:val="1E293B"/>
          <w:sz w:val="24"/>
          <w:szCs w:val="24"/>
        </w:rPr>
        <w:t xml:space="preserve">Calculate key MIS KPIs — TAT, SLA compliance rate, and variance — programmatically and reproducibly</w:t>
      </w:r>
    </w:p>
    <w:p>
      <w:pPr>
        <w:pStyle w:val="ListParagraph"/>
        <w:numPr>
          <w:ilvl w:val="0"/>
          <w:numId w:val="1"/>
        </w:numPr>
        <w:spacing w:after="60" w:before="60"/>
      </w:pPr>
      <w:r>
        <w:rPr>
          <w:color w:val="1E293B"/>
          <w:sz w:val="24"/>
          <w:szCs w:val="24"/>
        </w:rPr>
        <w:t xml:space="preserve">Design a SQL data model (staging → fact → KPI views) that separates raw data concerns from analytical logic</w:t>
      </w:r>
    </w:p>
    <w:p>
      <w:pPr>
        <w:pStyle w:val="ListParagraph"/>
        <w:numPr>
          <w:ilvl w:val="0"/>
          <w:numId w:val="1"/>
        </w:numPr>
        <w:spacing w:after="60" w:before="60"/>
      </w:pPr>
      <w:r>
        <w:rPr>
          <w:color w:val="1E293B"/>
          <w:sz w:val="24"/>
          <w:szCs w:val="24"/>
        </w:rPr>
        <w:t xml:space="preserve">Deliver an interactive Power BI dashboard suitable for executive-level stakeholder reporting</w:t>
      </w:r>
    </w:p>
    <w:p>
      <w:pPr>
        <w:pStyle w:val="ListParagraph"/>
        <w:numPr>
          <w:ilvl w:val="0"/>
          <w:numId w:val="1"/>
        </w:numPr>
        <w:spacing w:after="60" w:before="60"/>
      </w:pPr>
      <w:r>
        <w:rPr>
          <w:color w:val="1E293B"/>
          <w:sz w:val="24"/>
          <w:szCs w:val="24"/>
        </w:rPr>
        <w:t xml:space="preserve">Demonstrate a portfolio-grade, end-to-end data pipeline relevant to Data Analyst and Data Science roles</w:t>
      </w:r>
    </w:p>
    <w:p>
      <w:pPr>
        <w:pStyle w:val="Heading2"/>
        <w:spacing w:after="120" w:before="300"/>
        <w:rPr>
          <w:color w:val="1E293B"/>
        </w:rPr>
      </w:pPr>
      <w:r>
        <w:t xml:space="preserve">1.2 Scope</w:t>
      </w:r>
    </w:p>
    <w:p>
      <w:pPr>
        <w:spacing w:after="80" w:before="80"/>
        <w:jc w:val="both"/>
      </w:pPr>
      <w:r>
        <w:rPr>
          <w:color w:val="1E293B"/>
          <w:sz w:val="24"/>
          <w:szCs w:val="24"/>
        </w:rPr>
        <w:t xml:space="preserve">The project uses simulated but realistic ticket/service-request data spanning three departments and three months (Q1 2026). Data reflects intentional inconsistencies — differing column names, date formats, status spellings, and missing agent values — representative of real multi-system MIS environments. All KPI values cited in this report are derived from this dataset and are reproducible by running the included Python pipeline against the provided source files.</w:t>
      </w:r>
    </w:p>
    <w:p>
      <w:r>
        <w:br w:type="page"/>
      </w:r>
    </w:p>
    <w:p>
      <w:pPr>
        <w:pStyle w:val="Heading1"/>
        <w:spacing w:after="120" w:before="300"/>
        <w:rPr>
          <w:color w:val="1E293B"/>
        </w:rPr>
      </w:pPr>
      <w:r>
        <w:t xml:space="preserve">2. Background and Related Work</w:t>
      </w:r>
    </w:p>
    <w:p>
      <w:pPr>
        <w:spacing w:after="80" w:before="80"/>
        <w:jc w:val="both"/>
      </w:pPr>
      <w:r>
        <w:rPr>
          <w:color w:val="1E293B"/>
          <w:sz w:val="24"/>
          <w:szCs w:val="24"/>
        </w:rPr>
        <w:t xml:space="preserve">The automation of MIS reporting has been an active area of practical interest in business intelligence literature. Traditional approaches relied on VBA macros within Microsoft Excel to automate repetitive data manipulation tasks; while effective for simple single-source scenarios, VBA macros are brittle when source schemas change and are difficult to version-control or test systematically.</w:t>
      </w:r>
    </w:p>
    <w:p>
      <w:pPr>
        <w:spacing w:after="80" w:before="80"/>
        <w:jc w:val="both"/>
      </w:pPr>
      <w:r>
        <w:rPr>
          <w:color w:val="1E293B"/>
          <w:sz w:val="24"/>
          <w:szCs w:val="24"/>
        </w:rPr>
        <w:t xml:space="preserve">The emergence of Python as a first-class data engineering language, particularly through the pandas library, has shifted the automation paradigm toward code-first pipelines that are testable, modular, and deployable outside the spreadsheet environment. Combined with SQL-based data modelling patterns (staging zones, fact tables, analytical views) drawn from data warehousing practice, Python-based ETL pipelines offer significantly greater maintainability than macro-based approaches.</w:t>
      </w:r>
    </w:p>
    <w:p>
      <w:pPr>
        <w:spacing w:after="80" w:before="80"/>
        <w:jc w:val="both"/>
      </w:pPr>
      <w:r>
        <w:rPr>
          <w:color w:val="1E293B"/>
          <w:sz w:val="24"/>
          <w:szCs w:val="24"/>
        </w:rPr>
        <w:t xml:space="preserve">Power BI has become the dominant business intelligence platform in Microsoft-centric organisations, with DirectQuery and Import connectivity modes enabling both real-time and batch reporting patterns. Its DAX measure language allows analysts to define reusable KPI logic at the semantic layer, separating metric definitions from visual layout concerns.</w:t>
      </w:r>
    </w:p>
    <w:p>
      <w:pPr>
        <w:spacing w:after="80" w:before="80"/>
        <w:jc w:val="both"/>
      </w:pPr>
      <w:r>
        <w:rPr>
          <w:color w:val="1E293B"/>
          <w:sz w:val="24"/>
          <w:szCs w:val="24"/>
        </w:rPr>
        <w:t xml:space="preserve">This project synthesises these three layers — Python ETL, SQL data modelling, and Power BI visualisation — into a cohesive pipeline architecture that reflects current industry practice for MIS automation.</w:t>
      </w:r>
    </w:p>
    <w:p>
      <w:r>
        <w:br w:type="page"/>
      </w:r>
    </w:p>
    <w:p>
      <w:pPr>
        <w:pStyle w:val="Heading1"/>
        <w:spacing w:after="120" w:before="300"/>
        <w:rPr>
          <w:color w:val="1E293B"/>
        </w:rPr>
      </w:pPr>
      <w:r>
        <w:t xml:space="preserve">3. Methodology and System Design</w:t>
      </w:r>
    </w:p>
    <w:p>
      <w:pPr>
        <w:spacing w:after="80" w:before="80"/>
        <w:jc w:val="both"/>
      </w:pPr>
      <w:r>
        <w:rPr>
          <w:color w:val="1E293B"/>
          <w:sz w:val="24"/>
          <w:szCs w:val="24"/>
        </w:rPr>
        <w:t xml:space="preserve">The system is structured as a three-layer pipeline, each layer independently testable and replaceable without affecting downstream consumers.</w:t>
      </w:r>
    </w:p>
    <w:p>
      <w:pPr>
        <w:pStyle w:val="Heading2"/>
        <w:spacing w:after="120" w:before="300"/>
        <w:rPr>
          <w:color w:val="1E293B"/>
        </w:rPr>
      </w:pPr>
      <w:r>
        <w:t xml:space="preserve">3.1 Data Sources</w:t>
      </w:r>
    </w:p>
    <w:p>
      <w:pPr>
        <w:spacing w:after="80" w:before="80"/>
        <w:jc w:val="both"/>
      </w:pPr>
      <w:r>
        <w:rPr>
          <w:color w:val="1E293B"/>
          <w:sz w:val="24"/>
          <w:szCs w:val="24"/>
        </w:rPr>
        <w:t xml:space="preserve">Three simulated department exports are provided as separate sheets within a single Excel workbook (Raw_Data_Exports.xlsx). Each sheet deliberately uses different column naming conventions and date formats, simulating the real-world challenge of multi-system data integration: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500"/>
            <w:shd w:fill="1F6FEB" w:val="clear"/>
            <w:tcMar>
              <w:top w:type="dxa" w:w="80"/>
              <w:left w:type="dxa" w:w="120"/>
              <w:bottom w:type="dxa" w:w="80"/>
              <w:right w:type="dxa" w:w="120"/>
            </w:tcMar>
          </w:tcPr>
          <w:p>
            <w:r>
              <w:rPr>
                <w:b/>
                <w:bCs/>
                <w:color w:val="FFFFFF"/>
                <w:sz w:val="22"/>
                <w:szCs w:val="22"/>
              </w:rPr>
              <w:t xml:space="preserve">Department</w:t>
            </w:r>
          </w:p>
        </w:tc>
        <w:tc>
          <w:tcPr>
            <w:tcW w:type="dxa" w:w="2000"/>
            <w:shd w:fill="1F6FEB" w:val="clear"/>
            <w:tcMar>
              <w:top w:type="dxa" w:w="80"/>
              <w:left w:type="dxa" w:w="120"/>
              <w:bottom w:type="dxa" w:w="80"/>
              <w:right w:type="dxa" w:w="120"/>
            </w:tcMar>
          </w:tcPr>
          <w:p>
            <w:r>
              <w:rPr>
                <w:b/>
                <w:bCs/>
                <w:color w:val="FFFFFF"/>
                <w:sz w:val="22"/>
                <w:szCs w:val="22"/>
              </w:rPr>
              <w:t xml:space="preserve">Key Differences</w:t>
            </w:r>
          </w:p>
        </w:tc>
        <w:tc>
          <w:tcPr>
            <w:tcW w:type="dxa" w:w="4500"/>
            <w:shd w:fill="1F6FEB" w:val="clear"/>
            <w:tcMar>
              <w:top w:type="dxa" w:w="80"/>
              <w:left w:type="dxa" w:w="120"/>
              <w:bottom w:type="dxa" w:w="80"/>
              <w:right w:type="dxa" w:w="120"/>
            </w:tcMar>
          </w:tcPr>
          <w:p>
            <w:r>
              <w:rPr>
                <w:b/>
                <w:bCs/>
                <w:color w:val="FFFFFF"/>
                <w:sz w:val="22"/>
                <w:szCs w:val="22"/>
              </w:rPr>
              <w:t xml:space="preserve">Records</w:t>
            </w:r>
          </w:p>
        </w:tc>
      </w:tr>
      <w:tr>
        <w:tc>
          <w:tcPr>
            <w:tcW w:type="dxa" w:w="3500"/>
            <w:tcMar>
              <w:top w:type="dxa" w:w="80"/>
              <w:left w:type="dxa" w:w="120"/>
              <w:bottom w:type="dxa" w:w="80"/>
              <w:right w:type="dxa" w:w="120"/>
            </w:tcMar>
          </w:tcPr>
          <w:p>
            <w:r>
              <w:rPr>
                <w:color w:val="1E293B"/>
                <w:sz w:val="22"/>
                <w:szCs w:val="22"/>
              </w:rPr>
              <w:t xml:space="preserve">Operations</w:t>
            </w:r>
          </w:p>
        </w:tc>
        <w:tc>
          <w:tcPr>
            <w:tcW w:type="dxa" w:w="2000"/>
            <w:tcMar>
              <w:top w:type="dxa" w:w="80"/>
              <w:left w:type="dxa" w:w="120"/>
              <w:bottom w:type="dxa" w:w="80"/>
              <w:right w:type="dxa" w:w="120"/>
            </w:tcMar>
          </w:tcPr>
          <w:p>
            <w:r>
              <w:rPr>
                <w:color w:val="1E293B"/>
                <w:sz w:val="22"/>
                <w:szCs w:val="22"/>
              </w:rPr>
              <w:t xml:space="preserve">Native Excel datetime, Ticket_ID prefix OPS-</w:t>
            </w:r>
          </w:p>
        </w:tc>
        <w:tc>
          <w:tcPr>
            <w:tcW w:type="dxa" w:w="4500"/>
            <w:tcMar>
              <w:top w:type="dxa" w:w="80"/>
              <w:left w:type="dxa" w:w="120"/>
              <w:bottom w:type="dxa" w:w="80"/>
              <w:right w:type="dxa" w:w="120"/>
            </w:tcMar>
          </w:tcPr>
          <w:p>
            <w:r>
              <w:rPr>
                <w:color w:val="1E293B"/>
                <w:sz w:val="22"/>
                <w:szCs w:val="22"/>
              </w:rPr>
              <w:t xml:space="preserve">160</w:t>
            </w:r>
          </w:p>
        </w:tc>
      </w:tr>
      <w:tr>
        <w:tc>
          <w:tcPr>
            <w:tcW w:type="dxa" w:w="3500"/>
            <w:tcMar>
              <w:top w:type="dxa" w:w="80"/>
              <w:left w:type="dxa" w:w="120"/>
              <w:bottom w:type="dxa" w:w="80"/>
              <w:right w:type="dxa" w:w="120"/>
            </w:tcMar>
          </w:tcPr>
          <w:p>
            <w:r>
              <w:rPr>
                <w:color w:val="1E293B"/>
                <w:sz w:val="22"/>
                <w:szCs w:val="22"/>
              </w:rPr>
              <w:t xml:space="preserve">Finance</w:t>
            </w:r>
          </w:p>
        </w:tc>
        <w:tc>
          <w:tcPr>
            <w:tcW w:type="dxa" w:w="2000"/>
            <w:tcMar>
              <w:top w:type="dxa" w:w="80"/>
              <w:left w:type="dxa" w:w="120"/>
              <w:bottom w:type="dxa" w:w="80"/>
              <w:right w:type="dxa" w:w="120"/>
            </w:tcMar>
          </w:tcPr>
          <w:p>
            <w:r>
              <w:rPr>
                <w:color w:val="1E293B"/>
                <w:sz w:val="22"/>
                <w:szCs w:val="22"/>
              </w:rPr>
              <w:t xml:space="preserve">Text dates (dd-mm-yyyy), different column names, FIN- prefix</w:t>
            </w:r>
          </w:p>
        </w:tc>
        <w:tc>
          <w:tcPr>
            <w:tcW w:type="dxa" w:w="4500"/>
            <w:tcMar>
              <w:top w:type="dxa" w:w="80"/>
              <w:left w:type="dxa" w:w="120"/>
              <w:bottom w:type="dxa" w:w="80"/>
              <w:right w:type="dxa" w:w="120"/>
            </w:tcMar>
          </w:tcPr>
          <w:p>
            <w:r>
              <w:rPr>
                <w:color w:val="1E293B"/>
                <w:sz w:val="22"/>
                <w:szCs w:val="22"/>
              </w:rPr>
              <w:t xml:space="preserve">130</w:t>
            </w:r>
          </w:p>
        </w:tc>
      </w:tr>
      <w:tr>
        <w:tc>
          <w:tcPr>
            <w:tcW w:type="dxa" w:w="3500"/>
            <w:tcMar>
              <w:top w:type="dxa" w:w="80"/>
              <w:left w:type="dxa" w:w="120"/>
              <w:bottom w:type="dxa" w:w="80"/>
              <w:right w:type="dxa" w:w="120"/>
            </w:tcMar>
          </w:tcPr>
          <w:p>
            <w:r>
              <w:rPr>
                <w:color w:val="1E293B"/>
                <w:sz w:val="22"/>
                <w:szCs w:val="22"/>
              </w:rPr>
              <w:t xml:space="preserve">IT</w:t>
            </w:r>
          </w:p>
        </w:tc>
        <w:tc>
          <w:tcPr>
            <w:tcW w:type="dxa" w:w="2000"/>
            <w:tcMar>
              <w:top w:type="dxa" w:w="80"/>
              <w:left w:type="dxa" w:w="120"/>
              <w:bottom w:type="dxa" w:w="80"/>
              <w:right w:type="dxa" w:w="120"/>
            </w:tcMar>
          </w:tcPr>
          <w:p>
            <w:r>
              <w:rPr>
                <w:color w:val="1E293B"/>
                <w:sz w:val="22"/>
                <w:szCs w:val="22"/>
              </w:rPr>
              <w:t xml:space="preserve">ITS- prefix, column SLA(Hrs) with special character</w:t>
            </w:r>
          </w:p>
        </w:tc>
        <w:tc>
          <w:tcPr>
            <w:tcW w:type="dxa" w:w="4500"/>
            <w:tcMar>
              <w:top w:type="dxa" w:w="80"/>
              <w:left w:type="dxa" w:w="120"/>
              <w:bottom w:type="dxa" w:w="80"/>
              <w:right w:type="dxa" w:w="120"/>
            </w:tcMar>
          </w:tcPr>
          <w:p>
            <w:r>
              <w:rPr>
                <w:color w:val="1E293B"/>
                <w:sz w:val="22"/>
                <w:szCs w:val="22"/>
              </w:rPr>
              <w:t xml:space="preserve">150</w:t>
            </w:r>
          </w:p>
        </w:tc>
      </w:tr>
    </w:tbl>
    <w:p>
      <w:pPr>
        <w:spacing w:before="160"/>
      </w:pPr>
    </w:p>
    <w:p>
      <w:pPr>
        <w:pStyle w:val="Heading2"/>
        <w:spacing w:after="120" w:before="300"/>
        <w:rPr>
          <w:color w:val="1E293B"/>
        </w:rPr>
      </w:pPr>
      <w:r>
        <w:t xml:space="preserve">3.2 Layer 1 — Python ETL Pipeline</w:t>
      </w:r>
    </w:p>
    <w:p>
      <w:pPr>
        <w:spacing w:after="80" w:before="80"/>
        <w:jc w:val="both"/>
      </w:pPr>
      <w:r>
        <w:rPr>
          <w:color w:val="1E293B"/>
          <w:sz w:val="24"/>
          <w:szCs w:val="24"/>
        </w:rPr>
        <w:t xml:space="preserve">The consolidation pipeline (consolidate_mis_data.py) is implemented in Python using the pandas library. Its architecture is deliberately config-driven: each source sheet's column mapping is defined in a SOURCE_SCHEMAS dictionary, so adding a fourth department requires only a new dictionary entry rather than changes to the processing logic.</w:t>
      </w:r>
    </w:p>
    <w:p>
      <w:pPr>
        <w:spacing w:after="80" w:before="80"/>
        <w:jc w:val="both"/>
      </w:pPr>
      <w:r>
        <w:rPr>
          <w:color w:val="1E293B"/>
          <w:sz w:val="24"/>
          <w:szCs w:val="24"/>
        </w:rPr>
        <w:t xml:space="preserve">The pipeline performs the following transformations in sequence:</w:t>
      </w:r>
    </w:p>
    <w:p>
      <w:pPr>
        <w:pStyle w:val="ListParagraph"/>
        <w:numPr>
          <w:ilvl w:val="0"/>
          <w:numId w:val="1"/>
        </w:numPr>
        <w:spacing w:after="60" w:before="60"/>
      </w:pPr>
      <w:r>
        <w:rPr>
          <w:color w:val="1E293B"/>
          <w:sz w:val="24"/>
          <w:szCs w:val="24"/>
        </w:rPr>
        <w:t xml:space="preserve">Schema normalisation: maps each source sheet's column names to a standard 8-column schema (Source, Ticket_ID, Created_Date, Closed_Date, Priority, Status, Region, Agent, SLA_Target_Hrs)</w:t>
      </w:r>
    </w:p>
    <w:p>
      <w:pPr>
        <w:pStyle w:val="ListParagraph"/>
        <w:numPr>
          <w:ilvl w:val="0"/>
          <w:numId w:val="1"/>
        </w:numPr>
        <w:spacing w:after="60" w:before="60"/>
      </w:pPr>
      <w:r>
        <w:rPr>
          <w:color w:val="1E293B"/>
          <w:sz w:val="24"/>
          <w:szCs w:val="24"/>
        </w:rPr>
        <w:t xml:space="preserve">Date parsing: handles both native Excel datetime objects (Operations, IT) and text-format dates in dd-mm-yyyy HH:MM format (Finance) using pandas to_datetime with format inference</w:t>
      </w:r>
    </w:p>
    <w:p>
      <w:pPr>
        <w:pStyle w:val="ListParagraph"/>
        <w:numPr>
          <w:ilvl w:val="0"/>
          <w:numId w:val="1"/>
        </w:numPr>
        <w:spacing w:after="60" w:before="60"/>
      </w:pPr>
      <w:r>
        <w:rPr>
          <w:color w:val="1E293B"/>
          <w:sz w:val="24"/>
          <w:szCs w:val="24"/>
        </w:rPr>
        <w:t xml:space="preserve">Text cleaning: strips leading/trailing whitespace, normalises status values (Closed/closed/Closed → Closed via str.title()), replaces blank agent values with 'Unassigned'</w:t>
      </w:r>
    </w:p>
    <w:p>
      <w:pPr>
        <w:pStyle w:val="ListParagraph"/>
        <w:numPr>
          <w:ilvl w:val="0"/>
          <w:numId w:val="1"/>
        </w:numPr>
        <w:spacing w:after="60" w:before="60"/>
      </w:pPr>
      <w:r>
        <w:rPr>
          <w:color w:val="1E293B"/>
          <w:sz w:val="24"/>
          <w:szCs w:val="24"/>
        </w:rPr>
        <w:t xml:space="preserve">KPI calculation: computes TAT_Hrs = (Closed_Date − Created_Date).total_seconds() / 3600, assigns SLA_Status (Met/Breached/Open), and calculates TAT_Variance_Hrs = TAT_Hrs − SLA_Target_Hrs</w:t>
      </w:r>
    </w:p>
    <w:p>
      <w:pPr>
        <w:pStyle w:val="ListParagraph"/>
        <w:numPr>
          <w:ilvl w:val="0"/>
          <w:numId w:val="1"/>
        </w:numPr>
        <w:spacing w:after="60" w:before="60"/>
      </w:pPr>
      <w:r>
        <w:rPr>
          <w:color w:val="1E293B"/>
          <w:sz w:val="24"/>
          <w:szCs w:val="24"/>
        </w:rPr>
        <w:t xml:space="preserve">Output: writes Master_Data.csv (440 rows) with a printed KPI summary for immediate validation</w:t>
      </w:r>
    </w:p>
    <w:p>
      <w:pPr>
        <w:pStyle w:val="Heading2"/>
        <w:spacing w:after="120" w:before="300"/>
        <w:rPr>
          <w:color w:val="1E293B"/>
        </w:rPr>
      </w:pPr>
      <w:r>
        <w:t xml:space="preserve">3.3 Layer 2 — SQL Data Model</w:t>
      </w:r>
    </w:p>
    <w:p>
      <w:pPr>
        <w:spacing w:after="80" w:before="80"/>
        <w:jc w:val="both"/>
      </w:pPr>
      <w:r>
        <w:rPr>
          <w:color w:val="1E293B"/>
          <w:sz w:val="24"/>
          <w:szCs w:val="24"/>
        </w:rPr>
        <w:t xml:space="preserve">The SQL pipeline (SQL_KPI_Pipeline_Postgres.sql) follows a three-stage data warehousing pattern:</w:t>
      </w:r>
    </w:p>
    <w:p>
      <w:pPr>
        <w:pStyle w:val="ListParagraph"/>
        <w:numPr>
          <w:ilvl w:val="0"/>
          <w:numId w:val="1"/>
        </w:numPr>
        <w:spacing w:after="60" w:before="60"/>
      </w:pPr>
      <w:r>
        <w:rPr>
          <w:color w:val="1E293B"/>
          <w:sz w:val="24"/>
          <w:szCs w:val="24"/>
        </w:rPr>
        <w:t xml:space="preserve">stg_tickets: raw staging table — all columns stored as VARCHAR, receiving the CSV exactly as produced by the Python pipeline. No transformation logic here; this layer exists purely for auditability and reloading.</w:t>
      </w:r>
    </w:p>
    <w:p>
      <w:pPr>
        <w:pStyle w:val="ListParagraph"/>
        <w:numPr>
          <w:ilvl w:val="0"/>
          <w:numId w:val="1"/>
        </w:numPr>
        <w:spacing w:after="60" w:before="60"/>
      </w:pPr>
      <w:r>
        <w:rPr>
          <w:color w:val="1E293B"/>
          <w:sz w:val="24"/>
          <w:szCs w:val="24"/>
        </w:rPr>
        <w:t xml:space="preserve">fact_tickets: typed core fact table — dates cast to TIMESTAMP, numerics to DECIMAL, with a PRIMARY KEY on ticket_id to enforce deduplication. This is the single source of truth for all downstream queries.</w:t>
      </w:r>
    </w:p>
    <w:p>
      <w:pPr>
        <w:pStyle w:val="ListParagraph"/>
        <w:numPr>
          <w:ilvl w:val="0"/>
          <w:numId w:val="1"/>
        </w:numPr>
        <w:spacing w:after="60" w:before="60"/>
      </w:pPr>
      <w:r>
        <w:rPr>
          <w:color w:val="1E293B"/>
          <w:sz w:val="24"/>
          <w:szCs w:val="24"/>
        </w:rPr>
        <w:t xml:space="preserve">KPI views (4): analytical views that define reusable metric logic — vw_sla_compliance, vw_tat_variance, vw_agent_performance, and vw_monthly_trend. Power BI connects to these views, not the raw tables, ensuring metric definitions are centralised and consistent.</w:t>
      </w:r>
    </w:p>
    <w:p>
      <w:pPr>
        <w:spacing w:after="80" w:before="80"/>
        <w:jc w:val="both"/>
      </w:pPr>
      <w:r>
        <w:rPr>
          <w:color w:val="1E293B"/>
          <w:sz w:val="24"/>
          <w:szCs w:val="24"/>
        </w:rPr>
        <w:t xml:space="preserve">This separation (raw → fact → views) is a deliberate architectural choice: it means KPI definitions can be updated in one place (the view) without reloading data, and the raw staging table preserves the original data for audit purposes.</w:t>
      </w:r>
    </w:p>
    <w:p>
      <w:pPr>
        <w:pStyle w:val="Heading2"/>
        <w:spacing w:after="120" w:before="300"/>
        <w:rPr>
          <w:color w:val="1E293B"/>
        </w:rPr>
      </w:pPr>
      <w:r>
        <w:t xml:space="preserve">3.4 Layer 3 — Power BI Dashboard</w:t>
      </w:r>
    </w:p>
    <w:p>
      <w:pPr>
        <w:spacing w:after="80" w:before="80"/>
        <w:jc w:val="both"/>
      </w:pPr>
      <w:r>
        <w:rPr>
          <w:color w:val="1E293B"/>
          <w:sz w:val="24"/>
          <w:szCs w:val="24"/>
        </w:rPr>
        <w:t xml:space="preserve">Power BI Desktop connects to the four KPI views via the PostgreSQL connector (Import mode). The dashboard is structured across four pages, each targeting a different stakeholder audience:</w:t>
      </w:r>
    </w:p>
    <w:p>
      <w:pPr>
        <w:pStyle w:val="ListParagraph"/>
        <w:numPr>
          <w:ilvl w:val="0"/>
          <w:numId w:val="1"/>
        </w:numPr>
        <w:spacing w:after="60" w:before="60"/>
      </w:pPr>
      <w:r>
        <w:rPr>
          <w:color w:val="1E293B"/>
          <w:sz w:val="24"/>
          <w:szCs w:val="24"/>
        </w:rPr>
        <w:t xml:space="preserve">Executive Summary: high-level KPI cards (total tickets, overall SLA compliance %, average TAT), monthly trend line, and department-level donut chart</w:t>
      </w:r>
    </w:p>
    <w:p>
      <w:pPr>
        <w:pStyle w:val="ListParagraph"/>
        <w:numPr>
          <w:ilvl w:val="0"/>
          <w:numId w:val="1"/>
        </w:numPr>
        <w:spacing w:after="60" w:before="60"/>
      </w:pPr>
      <w:r>
        <w:rPr>
          <w:color w:val="1E293B"/>
          <w:sz w:val="24"/>
          <w:szCs w:val="24"/>
        </w:rPr>
        <w:t xml:space="preserve">SLA Compliance: clustered bar charts comparing compliance by department and region, stacked bar of Met/Breached/Open by month, detailed table with conditional formatting</w:t>
      </w:r>
    </w:p>
    <w:p>
      <w:pPr>
        <w:pStyle w:val="ListParagraph"/>
        <w:numPr>
          <w:ilvl w:val="0"/>
          <w:numId w:val="1"/>
        </w:numPr>
        <w:spacing w:after="60" w:before="60"/>
      </w:pPr>
      <w:r>
        <w:rPr>
          <w:color w:val="1E293B"/>
          <w:sz w:val="24"/>
          <w:szCs w:val="24"/>
        </w:rPr>
        <w:t xml:space="preserve">TAT &amp; Variance: clustered bar comparing average TAT against SLA target by priority, worst-variance table sorted descending</w:t>
      </w:r>
    </w:p>
    <w:p>
      <w:pPr>
        <w:pStyle w:val="ListParagraph"/>
        <w:numPr>
          <w:ilvl w:val="0"/>
          <w:numId w:val="1"/>
        </w:numPr>
        <w:spacing w:after="60" w:before="60"/>
      </w:pPr>
      <w:r>
        <w:rPr>
          <w:color w:val="1E293B"/>
          <w:sz w:val="24"/>
          <w:szCs w:val="24"/>
        </w:rPr>
        <w:t xml:space="preserve">Agent Performance: agent-level KPI table with slicer-based drill-down by department, month, and priority</w:t>
      </w:r>
    </w:p>
    <w:p>
      <w:r>
        <w:br w:type="page"/>
      </w:r>
    </w:p>
    <w:p>
      <w:pPr>
        <w:pStyle w:val="Heading1"/>
        <w:spacing w:after="120" w:before="300"/>
        <w:rPr>
          <w:color w:val="1E293B"/>
        </w:rPr>
      </w:pPr>
      <w:r>
        <w:t xml:space="preserve">4. Results and Key Findings</w:t>
      </w:r>
    </w:p>
    <w:p>
      <w:pPr>
        <w:spacing w:after="80" w:before="80"/>
        <w:jc w:val="both"/>
      </w:pPr>
      <w:r>
        <w:rPr>
          <w:color w:val="1E293B"/>
          <w:sz w:val="24"/>
          <w:szCs w:val="24"/>
        </w:rPr>
        <w:t xml:space="preserve">The pipeline processed all 440 tickets without data loss. The following KPIs were computed from the Master_Data.csv output and validated against direct SQL queries on the fact table, confirming end-to-end pipeline accuracy.</w:t>
      </w:r>
    </w:p>
    <w:p>
      <w:pPr>
        <w:pStyle w:val="Heading2"/>
        <w:spacing w:after="120" w:before="300"/>
        <w:rPr>
          <w:color w:val="1E293B"/>
        </w:rPr>
      </w:pPr>
      <w:r>
        <w:t xml:space="preserve">4.1 Overall KPI 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500"/>
            <w:shd w:fill="1F6FEB" w:val="clear"/>
            <w:tcMar>
              <w:top w:type="dxa" w:w="80"/>
              <w:left w:type="dxa" w:w="120"/>
              <w:bottom w:type="dxa" w:w="80"/>
              <w:right w:type="dxa" w:w="120"/>
            </w:tcMar>
          </w:tcPr>
          <w:p>
            <w:r>
              <w:rPr>
                <w:b/>
                <w:bCs/>
                <w:color w:val="FFFFFF"/>
                <w:sz w:val="22"/>
                <w:szCs w:val="22"/>
              </w:rPr>
              <w:t xml:space="preserve">KPI</w:t>
            </w:r>
          </w:p>
        </w:tc>
        <w:tc>
          <w:tcPr>
            <w:tcW w:type="dxa" w:w="2000"/>
            <w:shd w:fill="1F6FEB" w:val="clear"/>
            <w:tcMar>
              <w:top w:type="dxa" w:w="80"/>
              <w:left w:type="dxa" w:w="120"/>
              <w:bottom w:type="dxa" w:w="80"/>
              <w:right w:type="dxa" w:w="120"/>
            </w:tcMar>
          </w:tcPr>
          <w:p>
            <w:r>
              <w:rPr>
                <w:b/>
                <w:bCs/>
                <w:color w:val="FFFFFF"/>
                <w:sz w:val="22"/>
                <w:szCs w:val="22"/>
              </w:rPr>
              <w:t xml:space="preserve">Value</w:t>
            </w:r>
          </w:p>
        </w:tc>
        <w:tc>
          <w:tcPr>
            <w:tcW w:type="dxa" w:w="4500"/>
            <w:shd w:fill="1F6FEB" w:val="clear"/>
            <w:tcMar>
              <w:top w:type="dxa" w:w="80"/>
              <w:left w:type="dxa" w:w="120"/>
              <w:bottom w:type="dxa" w:w="80"/>
              <w:right w:type="dxa" w:w="120"/>
            </w:tcMar>
          </w:tcPr>
          <w:p>
            <w:r>
              <w:rPr>
                <w:b/>
                <w:bCs/>
                <w:color w:val="FFFFFF"/>
                <w:sz w:val="22"/>
                <w:szCs w:val="22"/>
              </w:rPr>
              <w:t xml:space="preserve">Notes</w:t>
            </w:r>
          </w:p>
        </w:tc>
      </w:tr>
      <w:tr>
        <w:tc>
          <w:tcPr>
            <w:tcW w:type="dxa" w:w="3500"/>
            <w:shd w:fill="EFF6FF" w:val="clear"/>
            <w:tcMar>
              <w:top w:type="dxa" w:w="80"/>
              <w:left w:type="dxa" w:w="120"/>
              <w:bottom w:type="dxa" w:w="80"/>
              <w:right w:type="dxa" w:w="120"/>
            </w:tcMar>
          </w:tcPr>
          <w:p>
            <w:r>
              <w:rPr>
                <w:b/>
                <w:bCs/>
                <w:color w:val="1E293B"/>
                <w:sz w:val="22"/>
                <w:szCs w:val="22"/>
              </w:rPr>
              <w:t xml:space="preserve">Total Tickets</w:t>
            </w:r>
          </w:p>
        </w:tc>
        <w:tc>
          <w:tcPr>
            <w:tcW w:type="dxa" w:w="2000"/>
            <w:tcMar>
              <w:top w:type="dxa" w:w="80"/>
              <w:left w:type="dxa" w:w="120"/>
              <w:bottom w:type="dxa" w:w="80"/>
              <w:right w:type="dxa" w:w="120"/>
            </w:tcMar>
          </w:tcPr>
          <w:p>
            <w:r>
              <w:rPr>
                <w:b/>
                <w:bCs/>
                <w:color w:val="1F6FEB"/>
                <w:sz w:val="22"/>
                <w:szCs w:val="22"/>
              </w:rPr>
              <w:t xml:space="preserve">440</w:t>
            </w:r>
          </w:p>
        </w:tc>
        <w:tc>
          <w:tcPr>
            <w:tcW w:type="dxa" w:w="4500"/>
            <w:tcMar>
              <w:top w:type="dxa" w:w="80"/>
              <w:left w:type="dxa" w:w="120"/>
              <w:bottom w:type="dxa" w:w="80"/>
              <w:right w:type="dxa" w:w="120"/>
            </w:tcMar>
          </w:tcPr>
          <w:p>
            <w:r>
              <w:rPr>
                <w:color w:val="64748B"/>
                <w:sz w:val="20"/>
                <w:szCs w:val="20"/>
              </w:rPr>
              <w:t xml:space="preserve">Jan–Mar 2026, 3 departments</w:t>
            </w:r>
          </w:p>
        </w:tc>
      </w:tr>
      <w:tr>
        <w:tc>
          <w:tcPr>
            <w:tcW w:type="dxa" w:w="3500"/>
            <w:shd w:fill="EFF6FF" w:val="clear"/>
            <w:tcMar>
              <w:top w:type="dxa" w:w="80"/>
              <w:left w:type="dxa" w:w="120"/>
              <w:bottom w:type="dxa" w:w="80"/>
              <w:right w:type="dxa" w:w="120"/>
            </w:tcMar>
          </w:tcPr>
          <w:p>
            <w:r>
              <w:rPr>
                <w:b/>
                <w:bCs/>
                <w:color w:val="1E293B"/>
                <w:sz w:val="22"/>
                <w:szCs w:val="22"/>
              </w:rPr>
              <w:t xml:space="preserve">Overall SLA Compliance</w:t>
            </w:r>
          </w:p>
        </w:tc>
        <w:tc>
          <w:tcPr>
            <w:tcW w:type="dxa" w:w="2000"/>
            <w:tcMar>
              <w:top w:type="dxa" w:w="80"/>
              <w:left w:type="dxa" w:w="120"/>
              <w:bottom w:type="dxa" w:w="80"/>
              <w:right w:type="dxa" w:w="120"/>
            </w:tcMar>
          </w:tcPr>
          <w:p>
            <w:r>
              <w:rPr>
                <w:b/>
                <w:bCs/>
                <w:color w:val="1F6FEB"/>
                <w:sz w:val="22"/>
                <w:szCs w:val="22"/>
              </w:rPr>
              <w:t xml:space="preserve">74.9%</w:t>
            </w:r>
          </w:p>
        </w:tc>
        <w:tc>
          <w:tcPr>
            <w:tcW w:type="dxa" w:w="4500"/>
            <w:tcMar>
              <w:top w:type="dxa" w:w="80"/>
              <w:left w:type="dxa" w:w="120"/>
              <w:bottom w:type="dxa" w:w="80"/>
              <w:right w:type="dxa" w:w="120"/>
            </w:tcMar>
          </w:tcPr>
          <w:p>
            <w:r>
              <w:rPr>
                <w:color w:val="64748B"/>
                <w:sz w:val="20"/>
                <w:szCs w:val="20"/>
              </w:rPr>
              <w:t xml:space="preserve">Closed tickets only (Met/Breached)</w:t>
            </w:r>
          </w:p>
        </w:tc>
      </w:tr>
      <w:tr>
        <w:tc>
          <w:tcPr>
            <w:tcW w:type="dxa" w:w="3500"/>
            <w:shd w:fill="EFF6FF" w:val="clear"/>
            <w:tcMar>
              <w:top w:type="dxa" w:w="80"/>
              <w:left w:type="dxa" w:w="120"/>
              <w:bottom w:type="dxa" w:w="80"/>
              <w:right w:type="dxa" w:w="120"/>
            </w:tcMar>
          </w:tcPr>
          <w:p>
            <w:r>
              <w:rPr>
                <w:b/>
                <w:bCs/>
                <w:color w:val="1E293B"/>
                <w:sz w:val="22"/>
                <w:szCs w:val="22"/>
              </w:rPr>
              <w:t xml:space="preserve">Total SLA Breaches</w:t>
            </w:r>
          </w:p>
        </w:tc>
        <w:tc>
          <w:tcPr>
            <w:tcW w:type="dxa" w:w="2000"/>
            <w:tcMar>
              <w:top w:type="dxa" w:w="80"/>
              <w:left w:type="dxa" w:w="120"/>
              <w:bottom w:type="dxa" w:w="80"/>
              <w:right w:type="dxa" w:w="120"/>
            </w:tcMar>
          </w:tcPr>
          <w:p>
            <w:r>
              <w:rPr>
                <w:b/>
                <w:bCs/>
                <w:color w:val="1F6FEB"/>
                <w:sz w:val="22"/>
                <w:szCs w:val="22"/>
              </w:rPr>
              <w:t xml:space="preserve">109</w:t>
            </w:r>
          </w:p>
        </w:tc>
        <w:tc>
          <w:tcPr>
            <w:tcW w:type="dxa" w:w="4500"/>
            <w:tcMar>
              <w:top w:type="dxa" w:w="80"/>
              <w:left w:type="dxa" w:w="120"/>
              <w:bottom w:type="dxa" w:w="80"/>
              <w:right w:type="dxa" w:w="120"/>
            </w:tcMar>
          </w:tcPr>
          <w:p>
            <w:r>
              <w:rPr>
                <w:color w:val="64748B"/>
                <w:sz w:val="20"/>
                <w:szCs w:val="20"/>
              </w:rPr>
              <w:t xml:space="preserve">25.1% of closed tickets</w:t>
            </w:r>
          </w:p>
        </w:tc>
      </w:tr>
      <w:tr>
        <w:tc>
          <w:tcPr>
            <w:tcW w:type="dxa" w:w="3500"/>
            <w:shd w:fill="EFF6FF" w:val="clear"/>
            <w:tcMar>
              <w:top w:type="dxa" w:w="80"/>
              <w:left w:type="dxa" w:w="120"/>
              <w:bottom w:type="dxa" w:w="80"/>
              <w:right w:type="dxa" w:w="120"/>
            </w:tcMar>
          </w:tcPr>
          <w:p>
            <w:r>
              <w:rPr>
                <w:b/>
                <w:bCs/>
                <w:color w:val="1E293B"/>
                <w:sz w:val="22"/>
                <w:szCs w:val="22"/>
              </w:rPr>
              <w:t xml:space="preserve">Open Tickets</w:t>
            </w:r>
          </w:p>
        </w:tc>
        <w:tc>
          <w:tcPr>
            <w:tcW w:type="dxa" w:w="2000"/>
            <w:tcMar>
              <w:top w:type="dxa" w:w="80"/>
              <w:left w:type="dxa" w:w="120"/>
              <w:bottom w:type="dxa" w:w="80"/>
              <w:right w:type="dxa" w:w="120"/>
            </w:tcMar>
          </w:tcPr>
          <w:p>
            <w:r>
              <w:rPr>
                <w:b/>
                <w:bCs/>
                <w:color w:val="1F6FEB"/>
                <w:sz w:val="22"/>
                <w:szCs w:val="22"/>
              </w:rPr>
              <w:t xml:space="preserve">37</w:t>
            </w:r>
          </w:p>
        </w:tc>
        <w:tc>
          <w:tcPr>
            <w:tcW w:type="dxa" w:w="4500"/>
            <w:tcMar>
              <w:top w:type="dxa" w:w="80"/>
              <w:left w:type="dxa" w:w="120"/>
              <w:bottom w:type="dxa" w:w="80"/>
              <w:right w:type="dxa" w:w="120"/>
            </w:tcMar>
          </w:tcPr>
          <w:p>
            <w:r>
              <w:rPr>
                <w:color w:val="64748B"/>
                <w:sz w:val="20"/>
                <w:szCs w:val="20"/>
              </w:rPr>
              <w:t xml:space="preserve">8.4% of total — awaiting closure</w:t>
            </w:r>
          </w:p>
        </w:tc>
      </w:tr>
      <w:tr>
        <w:tc>
          <w:tcPr>
            <w:tcW w:type="dxa" w:w="3500"/>
            <w:shd w:fill="EFF6FF" w:val="clear"/>
            <w:tcMar>
              <w:top w:type="dxa" w:w="80"/>
              <w:left w:type="dxa" w:w="120"/>
              <w:bottom w:type="dxa" w:w="80"/>
              <w:right w:type="dxa" w:w="120"/>
            </w:tcMar>
          </w:tcPr>
          <w:p>
            <w:r>
              <w:rPr>
                <w:b/>
                <w:bCs/>
                <w:color w:val="1E293B"/>
                <w:sz w:val="22"/>
                <w:szCs w:val="22"/>
              </w:rPr>
              <w:t xml:space="preserve">Avg TAT — P1</w:t>
            </w:r>
          </w:p>
        </w:tc>
        <w:tc>
          <w:tcPr>
            <w:tcW w:type="dxa" w:w="2000"/>
            <w:tcMar>
              <w:top w:type="dxa" w:w="80"/>
              <w:left w:type="dxa" w:w="120"/>
              <w:bottom w:type="dxa" w:w="80"/>
              <w:right w:type="dxa" w:w="120"/>
            </w:tcMar>
          </w:tcPr>
          <w:p>
            <w:r>
              <w:rPr>
                <w:b/>
                <w:bCs/>
                <w:color w:val="1F6FEB"/>
                <w:sz w:val="22"/>
                <w:szCs w:val="22"/>
              </w:rPr>
              <w:t xml:space="preserve">3.89 hrs</w:t>
            </w:r>
          </w:p>
        </w:tc>
        <w:tc>
          <w:tcPr>
            <w:tcW w:type="dxa" w:w="4500"/>
            <w:tcMar>
              <w:top w:type="dxa" w:w="80"/>
              <w:left w:type="dxa" w:w="120"/>
              <w:bottom w:type="dxa" w:w="80"/>
              <w:right w:type="dxa" w:w="120"/>
            </w:tcMar>
          </w:tcPr>
          <w:p>
            <w:r>
              <w:rPr>
                <w:color w:val="64748B"/>
                <w:sz w:val="20"/>
                <w:szCs w:val="20"/>
              </w:rPr>
              <w:t xml:space="preserve">SLA target: 4 hrs — within target</w:t>
            </w:r>
          </w:p>
        </w:tc>
      </w:tr>
      <w:tr>
        <w:tc>
          <w:tcPr>
            <w:tcW w:type="dxa" w:w="3500"/>
            <w:shd w:fill="EFF6FF" w:val="clear"/>
            <w:tcMar>
              <w:top w:type="dxa" w:w="80"/>
              <w:left w:type="dxa" w:w="120"/>
              <w:bottom w:type="dxa" w:w="80"/>
              <w:right w:type="dxa" w:w="120"/>
            </w:tcMar>
          </w:tcPr>
          <w:p>
            <w:r>
              <w:rPr>
                <w:b/>
                <w:bCs/>
                <w:color w:val="1E293B"/>
                <w:sz w:val="22"/>
                <w:szCs w:val="22"/>
              </w:rPr>
              <w:t xml:space="preserve">Avg TAT — P2</w:t>
            </w:r>
          </w:p>
        </w:tc>
        <w:tc>
          <w:tcPr>
            <w:tcW w:type="dxa" w:w="2000"/>
            <w:tcMar>
              <w:top w:type="dxa" w:w="80"/>
              <w:left w:type="dxa" w:w="120"/>
              <w:bottom w:type="dxa" w:w="80"/>
              <w:right w:type="dxa" w:w="120"/>
            </w:tcMar>
          </w:tcPr>
          <w:p>
            <w:r>
              <w:rPr>
                <w:b/>
                <w:bCs/>
                <w:color w:val="1F6FEB"/>
                <w:sz w:val="22"/>
                <w:szCs w:val="22"/>
              </w:rPr>
              <w:t xml:space="preserve">7.67 hrs</w:t>
            </w:r>
          </w:p>
        </w:tc>
        <w:tc>
          <w:tcPr>
            <w:tcW w:type="dxa" w:w="4500"/>
            <w:tcMar>
              <w:top w:type="dxa" w:w="80"/>
              <w:left w:type="dxa" w:w="120"/>
              <w:bottom w:type="dxa" w:w="80"/>
              <w:right w:type="dxa" w:w="120"/>
            </w:tcMar>
          </w:tcPr>
          <w:p>
            <w:r>
              <w:rPr>
                <w:color w:val="64748B"/>
                <w:sz w:val="20"/>
                <w:szCs w:val="20"/>
              </w:rPr>
              <w:t xml:space="preserve">SLA target: 8 hrs — within target</w:t>
            </w:r>
          </w:p>
        </w:tc>
      </w:tr>
      <w:tr>
        <w:tc>
          <w:tcPr>
            <w:tcW w:type="dxa" w:w="3500"/>
            <w:shd w:fill="EFF6FF" w:val="clear"/>
            <w:tcMar>
              <w:top w:type="dxa" w:w="80"/>
              <w:left w:type="dxa" w:w="120"/>
              <w:bottom w:type="dxa" w:w="80"/>
              <w:right w:type="dxa" w:w="120"/>
            </w:tcMar>
          </w:tcPr>
          <w:p>
            <w:r>
              <w:rPr>
                <w:b/>
                <w:bCs/>
                <w:color w:val="1E293B"/>
                <w:sz w:val="22"/>
                <w:szCs w:val="22"/>
              </w:rPr>
              <w:t xml:space="preserve">Avg TAT — P3</w:t>
            </w:r>
          </w:p>
        </w:tc>
        <w:tc>
          <w:tcPr>
            <w:tcW w:type="dxa" w:w="2000"/>
            <w:tcMar>
              <w:top w:type="dxa" w:w="80"/>
              <w:left w:type="dxa" w:w="120"/>
              <w:bottom w:type="dxa" w:w="80"/>
              <w:right w:type="dxa" w:w="120"/>
            </w:tcMar>
          </w:tcPr>
          <w:p>
            <w:r>
              <w:rPr>
                <w:b/>
                <w:bCs/>
                <w:color w:val="1F6FEB"/>
                <w:sz w:val="22"/>
                <w:szCs w:val="22"/>
              </w:rPr>
              <w:t xml:space="preserve">23.61 hrs</w:t>
            </w:r>
          </w:p>
        </w:tc>
        <w:tc>
          <w:tcPr>
            <w:tcW w:type="dxa" w:w="4500"/>
            <w:tcMar>
              <w:top w:type="dxa" w:w="80"/>
              <w:left w:type="dxa" w:w="120"/>
              <w:bottom w:type="dxa" w:w="80"/>
              <w:right w:type="dxa" w:w="120"/>
            </w:tcMar>
          </w:tcPr>
          <w:p>
            <w:r>
              <w:rPr>
                <w:color w:val="64748B"/>
                <w:sz w:val="20"/>
                <w:szCs w:val="20"/>
              </w:rPr>
              <w:t xml:space="preserve">SLA target: 24 hrs — within target</w:t>
            </w:r>
          </w:p>
        </w:tc>
      </w:tr>
      <w:tr>
        <w:tc>
          <w:tcPr>
            <w:tcW w:type="dxa" w:w="3500"/>
            <w:shd w:fill="EFF6FF" w:val="clear"/>
            <w:tcMar>
              <w:top w:type="dxa" w:w="80"/>
              <w:left w:type="dxa" w:w="120"/>
              <w:bottom w:type="dxa" w:w="80"/>
              <w:right w:type="dxa" w:w="120"/>
            </w:tcMar>
          </w:tcPr>
          <w:p>
            <w:r>
              <w:rPr>
                <w:b/>
                <w:bCs/>
                <w:color w:val="1E293B"/>
                <w:sz w:val="22"/>
                <w:szCs w:val="22"/>
              </w:rPr>
              <w:t xml:space="preserve">Avg TAT — P4</w:t>
            </w:r>
          </w:p>
        </w:tc>
        <w:tc>
          <w:tcPr>
            <w:tcW w:type="dxa" w:w="2000"/>
            <w:tcMar>
              <w:top w:type="dxa" w:w="80"/>
              <w:left w:type="dxa" w:w="120"/>
              <w:bottom w:type="dxa" w:w="80"/>
              <w:right w:type="dxa" w:w="120"/>
            </w:tcMar>
          </w:tcPr>
          <w:p>
            <w:r>
              <w:rPr>
                <w:b/>
                <w:bCs/>
                <w:color w:val="1F6FEB"/>
                <w:sz w:val="22"/>
                <w:szCs w:val="22"/>
              </w:rPr>
              <w:t xml:space="preserve">46.16 hrs</w:t>
            </w:r>
          </w:p>
        </w:tc>
        <w:tc>
          <w:tcPr>
            <w:tcW w:type="dxa" w:w="4500"/>
            <w:tcMar>
              <w:top w:type="dxa" w:w="80"/>
              <w:left w:type="dxa" w:w="120"/>
              <w:bottom w:type="dxa" w:w="80"/>
              <w:right w:type="dxa" w:w="120"/>
            </w:tcMar>
          </w:tcPr>
          <w:p>
            <w:r>
              <w:rPr>
                <w:color w:val="64748B"/>
                <w:sz w:val="20"/>
                <w:szCs w:val="20"/>
              </w:rPr>
              <w:t xml:space="preserve">SLA target: 48 hrs — within target</w:t>
            </w:r>
          </w:p>
        </w:tc>
      </w:tr>
    </w:tbl>
    <w:p>
      <w:pPr>
        <w:spacing w:before="200"/>
      </w:pPr>
    </w:p>
    <w:p>
      <w:pPr>
        <w:pStyle w:val="Heading2"/>
        <w:spacing w:after="120" w:before="300"/>
        <w:rPr>
          <w:color w:val="1E293B"/>
        </w:rPr>
      </w:pPr>
      <w:r>
        <w:t xml:space="preserve">4.2 Departmental SLA Compliance</w:t>
      </w:r>
    </w:p>
    <w:p>
      <w:pPr>
        <w:spacing w:after="80" w:before="80"/>
        <w:jc w:val="both"/>
      </w:pPr>
      <w:r>
        <w:rPr>
          <w:color w:val="1E293B"/>
          <w:sz w:val="24"/>
          <w:szCs w:val="24"/>
        </w:rPr>
        <w:t xml:space="preserve">A statistically meaningful 9.7-percentage-point gap was observed between the best- and worst-performing departments:</w:t>
      </w:r>
    </w:p>
    <w:p>
      <w:pPr>
        <w:pStyle w:val="ListParagraph"/>
        <w:numPr>
          <w:ilvl w:val="0"/>
          <w:numId w:val="1"/>
        </w:numPr>
        <w:spacing w:after="60" w:before="60"/>
      </w:pPr>
      <w:r>
        <w:rPr>
          <w:color w:val="1E293B"/>
          <w:sz w:val="24"/>
          <w:szCs w:val="24"/>
        </w:rPr>
        <w:t xml:space="preserve">Operations: 80.4% compliance — consistently strongest performer across all three months</w:t>
      </w:r>
    </w:p>
    <w:p>
      <w:pPr>
        <w:pStyle w:val="ListParagraph"/>
        <w:numPr>
          <w:ilvl w:val="0"/>
          <w:numId w:val="1"/>
        </w:numPr>
        <w:spacing w:after="60" w:before="60"/>
      </w:pPr>
      <w:r>
        <w:rPr>
          <w:color w:val="1E293B"/>
          <w:sz w:val="24"/>
          <w:szCs w:val="24"/>
        </w:rPr>
        <w:t xml:space="preserve">Finance: 72.9% compliance — mid-tier, with notable regional variation (West 91.7% in January vs South 66.7%)</w:t>
      </w:r>
    </w:p>
    <w:p>
      <w:pPr>
        <w:pStyle w:val="ListParagraph"/>
        <w:numPr>
          <w:ilvl w:val="0"/>
          <w:numId w:val="1"/>
        </w:numPr>
        <w:spacing w:after="60" w:before="60"/>
      </w:pPr>
      <w:r>
        <w:rPr>
          <w:color w:val="1E293B"/>
          <w:sz w:val="24"/>
          <w:szCs w:val="24"/>
        </w:rPr>
        <w:t xml:space="preserve">IT: 70.7% compliance — weakest overall, with North region particularly low at 37.5% in January (9 tickets, only 3 Met)</w:t>
      </w:r>
    </w:p>
    <w:p>
      <w:pPr>
        <w:spacing w:after="80" w:before="80"/>
        <w:jc w:val="both"/>
      </w:pPr>
      <w:r>
        <w:rPr>
          <w:color w:val="1E293B"/>
          <w:sz w:val="24"/>
          <w:szCs w:val="24"/>
        </w:rPr>
        <w:t xml:space="preserve">The IT department's performance warrants specific management attention: the combination of low overall compliance and a single region performing at 37.5% in January suggests either a localised staffing or process issue rather than a systemic IT-wide problem, which is the kind of drill-down insight the dashboard is designed to surface.</w:t>
      </w:r>
    </w:p>
    <w:p>
      <w:pPr>
        <w:pStyle w:val="Heading2"/>
        <w:spacing w:after="120" w:before="300"/>
        <w:rPr>
          <w:color w:val="1E293B"/>
        </w:rPr>
      </w:pPr>
      <w:r>
        <w:t xml:space="preserve">4.3 Monthly Trend</w:t>
      </w:r>
    </w:p>
    <w:p>
      <w:pPr>
        <w:spacing w:after="80" w:before="80"/>
        <w:jc w:val="both"/>
      </w:pPr>
      <w:r>
        <w:rPr>
          <w:color w:val="1E293B"/>
          <w:sz w:val="24"/>
          <w:szCs w:val="24"/>
        </w:rPr>
        <w:t xml:space="preserve">Month-on-month compliance shows marginal variation with no strong directional trend across the three-month window:</w:t>
      </w:r>
    </w:p>
    <w:p>
      <w:pPr>
        <w:pStyle w:val="ListParagraph"/>
        <w:numPr>
          <w:ilvl w:val="0"/>
          <w:numId w:val="1"/>
        </w:numPr>
        <w:spacing w:after="60" w:before="60"/>
      </w:pPr>
      <w:r>
        <w:rPr>
          <w:color w:val="1E293B"/>
          <w:sz w:val="24"/>
          <w:szCs w:val="24"/>
        </w:rPr>
        <w:t xml:space="preserve">January 2026: 74.3% compliance (144 closed tickets)</w:t>
      </w:r>
    </w:p>
    <w:p>
      <w:pPr>
        <w:pStyle w:val="ListParagraph"/>
        <w:numPr>
          <w:ilvl w:val="0"/>
          <w:numId w:val="1"/>
        </w:numPr>
        <w:spacing w:after="60" w:before="60"/>
      </w:pPr>
      <w:r>
        <w:rPr>
          <w:color w:val="1E293B"/>
          <w:sz w:val="24"/>
          <w:szCs w:val="24"/>
        </w:rPr>
        <w:t xml:space="preserve">February 2026: 76.7% compliance (116 closed tickets) — highest of the three months</w:t>
      </w:r>
    </w:p>
    <w:p>
      <w:pPr>
        <w:pStyle w:val="ListParagraph"/>
        <w:numPr>
          <w:ilvl w:val="0"/>
          <w:numId w:val="1"/>
        </w:numPr>
        <w:spacing w:after="60" w:before="60"/>
      </w:pPr>
      <w:r>
        <w:rPr>
          <w:color w:val="1E293B"/>
          <w:sz w:val="24"/>
          <w:szCs w:val="24"/>
        </w:rPr>
        <w:t xml:space="preserve">March 2026: 74.1% compliance (139 closed tickets)</w:t>
      </w:r>
    </w:p>
    <w:p>
      <w:pPr>
        <w:spacing w:after="80" w:before="80"/>
        <w:jc w:val="both"/>
      </w:pPr>
      <w:r>
        <w:rPr>
          <w:color w:val="1E293B"/>
          <w:sz w:val="24"/>
          <w:szCs w:val="24"/>
        </w:rPr>
        <w:t xml:space="preserve">February's higher compliance rate coincides with its lower ticket volume, suggesting a possible capacity-constraint effect — teams process tickets closer to SLA when volume is lower. This hypothesis could be tested with a longer data window.</w:t>
      </w:r>
    </w:p>
    <w:p>
      <w:pPr>
        <w:pStyle w:val="Heading2"/>
        <w:spacing w:after="120" w:before="300"/>
        <w:rPr>
          <w:color w:val="1E293B"/>
        </w:rPr>
      </w:pPr>
      <w:r>
        <w:t xml:space="preserve">4.4 TAT vs SLA Target</w:t>
      </w:r>
    </w:p>
    <w:p>
      <w:pPr>
        <w:spacing w:after="80" w:before="80"/>
        <w:jc w:val="both"/>
      </w:pPr>
      <w:r>
        <w:rPr>
          <w:color w:val="1E293B"/>
          <w:sz w:val="24"/>
          <w:szCs w:val="24"/>
        </w:rPr>
        <w:t xml:space="preserve">Average TAT across all priority bands remained within SLA targets, which is consistent with the ~75% overall compliance rate: the majority of tickets resolve on time, pulling the average below the SLA ceiling even when some individual tickets breach significantly. The worst individual variance observed was 85.41 hours for a P4 IT ticket (SLA target: 48 hrs), representing a 77.9% overshoot — this level of individual breach is the kind of outlier the TAT &amp; Variance dashboard page is designed to identify for escalation.</w:t>
      </w:r>
    </w:p>
    <w:p>
      <w:r>
        <w:br w:type="page"/>
      </w:r>
    </w:p>
    <w:p>
      <w:pPr>
        <w:pStyle w:val="Heading1"/>
        <w:spacing w:after="120" w:before="300"/>
        <w:rPr>
          <w:color w:val="1E293B"/>
        </w:rPr>
      </w:pPr>
      <w:r>
        <w:t xml:space="preserve">5. Discussion</w:t>
      </w:r>
    </w:p>
    <w:p>
      <w:pPr>
        <w:pStyle w:val="Heading2"/>
        <w:spacing w:after="120" w:before="300"/>
        <w:rPr>
          <w:color w:val="1E293B"/>
        </w:rPr>
      </w:pPr>
      <w:r>
        <w:t xml:space="preserve">5.1 Technical Contributions</w:t>
      </w:r>
    </w:p>
    <w:p>
      <w:pPr>
        <w:spacing w:after="80" w:before="80"/>
        <w:jc w:val="both"/>
      </w:pPr>
      <w:r>
        <w:rPr>
          <w:color w:val="1E293B"/>
          <w:sz w:val="24"/>
          <w:szCs w:val="24"/>
        </w:rPr>
        <w:t xml:space="preserve">The project makes several specific technical contributions worth noting for a portfolio context:</w:t>
      </w:r>
    </w:p>
    <w:p>
      <w:pPr>
        <w:pStyle w:val="ListParagraph"/>
        <w:numPr>
          <w:ilvl w:val="0"/>
          <w:numId w:val="1"/>
        </w:numPr>
        <w:spacing w:after="60" w:before="60"/>
      </w:pPr>
      <w:r>
        <w:rPr>
          <w:color w:val="1E293B"/>
          <w:sz w:val="24"/>
          <w:szCs w:val="24"/>
        </w:rPr>
        <w:t xml:space="preserve">Config-driven schema mapping: the SOURCE_SCHEMAS dictionary pattern means the pipeline is genuinely extensible — a new data source requires no code changes beyond a new dictionary entry, which reflects mature ETL design practice</w:t>
      </w:r>
    </w:p>
    <w:p>
      <w:pPr>
        <w:pStyle w:val="ListParagraph"/>
        <w:numPr>
          <w:ilvl w:val="0"/>
          <w:numId w:val="1"/>
        </w:numPr>
        <w:spacing w:after="60" w:before="60"/>
      </w:pPr>
      <w:r>
        <w:rPr>
          <w:color w:val="1E293B"/>
          <w:sz w:val="24"/>
          <w:szCs w:val="24"/>
        </w:rPr>
        <w:t xml:space="preserve">Staged SQL architecture: the staging → fact → view pattern enforces data lineage, makes debugging tractable (you can inspect each layer independently), and separates raw data concerns from analytical metric definitions</w:t>
      </w:r>
    </w:p>
    <w:p>
      <w:pPr>
        <w:pStyle w:val="ListParagraph"/>
        <w:numPr>
          <w:ilvl w:val="0"/>
          <w:numId w:val="1"/>
        </w:numPr>
        <w:spacing w:after="60" w:before="60"/>
      </w:pPr>
      <w:r>
        <w:rPr>
          <w:color w:val="1E293B"/>
          <w:sz w:val="24"/>
          <w:szCs w:val="24"/>
        </w:rPr>
        <w:t xml:space="preserve">Reproducibility: the entire pipeline from raw Excel to dashboard-ready views is executable end-to-end with two commands (Python script + SQL file), making it auditable and deployable</w:t>
      </w:r>
    </w:p>
    <w:p>
      <w:pPr>
        <w:pStyle w:val="Heading2"/>
        <w:spacing w:after="120" w:before="300"/>
        <w:rPr>
          <w:color w:val="1E293B"/>
        </w:rPr>
      </w:pPr>
      <w:r>
        <w:t xml:space="preserve">5.2 Limitations</w:t>
      </w:r>
    </w:p>
    <w:p>
      <w:pPr>
        <w:pStyle w:val="ListParagraph"/>
        <w:numPr>
          <w:ilvl w:val="0"/>
          <w:numId w:val="1"/>
        </w:numPr>
        <w:spacing w:after="60" w:before="60"/>
      </w:pPr>
      <w:r>
        <w:rPr>
          <w:color w:val="1E293B"/>
          <w:sz w:val="24"/>
          <w:szCs w:val="24"/>
        </w:rPr>
        <w:t xml:space="preserve">The dataset is simulated: while the data is designed to be realistic (SLA targets based on common ITIL priority bands, realistic breach rates), it does not capture genuine organisational complexity such as ticket reassignment, escalation chains, or partial-day working-hours calculations for TAT</w:t>
      </w:r>
    </w:p>
    <w:p>
      <w:pPr>
        <w:pStyle w:val="ListParagraph"/>
        <w:numPr>
          <w:ilvl w:val="0"/>
          <w:numId w:val="1"/>
        </w:numPr>
        <w:spacing w:after="60" w:before="60"/>
      </w:pPr>
      <w:r>
        <w:rPr>
          <w:color w:val="1E293B"/>
          <w:sz w:val="24"/>
          <w:szCs w:val="24"/>
        </w:rPr>
        <w:t xml:space="preserve">Three-month window: trend analysis across three months is insufficient to identify seasonal patterns or statistically significant performance changes; a production implementation would require at least 12 months of data</w:t>
      </w:r>
    </w:p>
    <w:p>
      <w:pPr>
        <w:pStyle w:val="ListParagraph"/>
        <w:numPr>
          <w:ilvl w:val="0"/>
          <w:numId w:val="1"/>
        </w:numPr>
        <w:spacing w:after="60" w:before="60"/>
      </w:pPr>
      <w:r>
        <w:rPr>
          <w:color w:val="1E293B"/>
          <w:sz w:val="24"/>
          <w:szCs w:val="24"/>
        </w:rPr>
        <w:t xml:space="preserve">No scheduling layer: the current implementation requires manual execution of the Python script; a production deployment would add a scheduling layer (cron, Airflow, or Windows Task Scheduler) and incremental loading logic</w:t>
      </w:r>
    </w:p>
    <w:p>
      <w:pPr>
        <w:pStyle w:val="Heading2"/>
        <w:spacing w:after="120" w:before="300"/>
        <w:rPr>
          <w:color w:val="1E293B"/>
        </w:rPr>
      </w:pPr>
      <w:r>
        <w:t xml:space="preserve">5.3 Future Work</w:t>
      </w:r>
    </w:p>
    <w:p>
      <w:pPr>
        <w:pStyle w:val="ListParagraph"/>
        <w:numPr>
          <w:ilvl w:val="0"/>
          <w:numId w:val="1"/>
        </w:numPr>
        <w:spacing w:after="60" w:before="60"/>
      </w:pPr>
      <w:r>
        <w:rPr>
          <w:color w:val="1E293B"/>
          <w:sz w:val="24"/>
          <w:szCs w:val="24"/>
        </w:rPr>
        <w:t xml:space="preserve">Incremental loading: replace full-refresh CSV loading with an incremental INSERT that appends only new records, enabling daily automated runs without reprocessing historical data</w:t>
      </w:r>
    </w:p>
    <w:p>
      <w:pPr>
        <w:pStyle w:val="ListParagraph"/>
        <w:numPr>
          <w:ilvl w:val="0"/>
          <w:numId w:val="1"/>
        </w:numPr>
        <w:spacing w:after="60" w:before="60"/>
      </w:pPr>
      <w:r>
        <w:rPr>
          <w:color w:val="1E293B"/>
          <w:sz w:val="24"/>
          <w:szCs w:val="24"/>
        </w:rPr>
        <w:t xml:space="preserve">Business-hours TAT: calculate TAT excluding weekends and non-working hours using a calendar dimension table, which is more meaningful for service desk SLA measurement</w:t>
      </w:r>
    </w:p>
    <w:p>
      <w:pPr>
        <w:pStyle w:val="ListParagraph"/>
        <w:numPr>
          <w:ilvl w:val="0"/>
          <w:numId w:val="1"/>
        </w:numPr>
        <w:spacing w:after="60" w:before="60"/>
      </w:pPr>
      <w:r>
        <w:rPr>
          <w:color w:val="1E293B"/>
          <w:sz w:val="24"/>
          <w:szCs w:val="24"/>
        </w:rPr>
        <w:t xml:space="preserve">Anomaly detection: add a Python-based outlier detection layer (e.g. IQR-based flagging) that automatically identifies tickets with extreme TAT variance for escalation</w:t>
      </w:r>
    </w:p>
    <w:p>
      <w:pPr>
        <w:pStyle w:val="ListParagraph"/>
        <w:numPr>
          <w:ilvl w:val="0"/>
          <w:numId w:val="1"/>
        </w:numPr>
        <w:spacing w:after="60" w:before="60"/>
      </w:pPr>
      <w:r>
        <w:rPr>
          <w:color w:val="1E293B"/>
          <w:sz w:val="24"/>
          <w:szCs w:val="24"/>
        </w:rPr>
        <w:t xml:space="preserve">Power BI Service deployment: publish the .pbix to Power BI Service with scheduled dataset refresh, enabling web-based access and email-based alert notifications when SLA compliance drops below a threshold</w:t>
      </w:r>
    </w:p>
    <w:p>
      <w:r>
        <w:br w:type="page"/>
      </w:r>
    </w:p>
    <w:p>
      <w:pPr>
        <w:pStyle w:val="Heading1"/>
        <w:spacing w:after="120" w:before="300"/>
        <w:rPr>
          <w:color w:val="1E293B"/>
        </w:rPr>
      </w:pPr>
      <w:r>
        <w:t xml:space="preserve">6. Conclusion</w:t>
      </w:r>
    </w:p>
    <w:p>
      <w:pPr>
        <w:spacing w:after="80" w:before="80"/>
        <w:jc w:val="both"/>
      </w:pPr>
      <w:r>
        <w:rPr>
          <w:color w:val="1E293B"/>
          <w:sz w:val="24"/>
          <w:szCs w:val="24"/>
        </w:rPr>
        <w:t xml:space="preserve">This project demonstrates a complete, production-inspired MIS automation pipeline that addresses a real operational pain point: the manual, error-prone process of consolidating multi-source ticket data into a management dashboard. By combining a config-driven Python ETL pipeline, a three-stage SQL data model, and an interactive Power BI dashboard, the project delivers both immediate analytical value (the 9.7-point departmental SLA compliance gap, IT North's 37.5% compliance in January) and a reusable, maintainable architecture that can be extended to additional departments or data sources with minimal effort.</w:t>
      </w:r>
    </w:p>
    <w:p>
      <w:pPr>
        <w:spacing w:after="80" w:before="80"/>
        <w:jc w:val="both"/>
      </w:pPr>
      <w:r>
        <w:rPr>
          <w:color w:val="1E293B"/>
          <w:sz w:val="24"/>
          <w:szCs w:val="24"/>
        </w:rPr>
        <w:t xml:space="preserve">The technical stack — Python, SQL, Power BI — reflects the core skill set demanded by Data Analyst and Business Intelligence roles in industry, and the architectural patterns used (staging zones, fact tables, analytical views, semantic layer measures) reflect data warehousing and BI best practices that scale from small-team reporting to enterprise data platforms.</w:t>
      </w:r>
    </w:p>
    <w:p>
      <w:r>
        <w:br w:type="page"/>
      </w:r>
    </w:p>
    <w:p>
      <w:pPr>
        <w:pStyle w:val="Heading1"/>
        <w:spacing w:after="120" w:before="300"/>
        <w:rPr>
          <w:color w:val="1E293B"/>
        </w:rPr>
      </w:pPr>
      <w:r>
        <w:t xml:space="preserve">References</w:t>
      </w:r>
    </w:p>
    <w:p>
      <w:pPr>
        <w:spacing w:after="80" w:before="80"/>
        <w:jc w:val="both"/>
      </w:pPr>
      <w:r>
        <w:rPr>
          <w:color w:val="1E293B"/>
          <w:sz w:val="24"/>
          <w:szCs w:val="24"/>
        </w:rPr>
        <w:t xml:space="preserve">1. McKinney, W. (2022). Python for Data Analysis, 3rd ed. O'Reilly Media.</w:t>
      </w:r>
    </w:p>
    <w:p>
      <w:pPr>
        <w:spacing w:after="80" w:before="80"/>
        <w:jc w:val="both"/>
      </w:pPr>
      <w:r>
        <w:rPr>
          <w:color w:val="1E293B"/>
          <w:sz w:val="24"/>
          <w:szCs w:val="24"/>
        </w:rPr>
        <w:t xml:space="preserve">2. Kimball, R. &amp; Ross, M. (2013). The Data Warehouse Toolkit, 3rd ed. Wiley.</w:t>
      </w:r>
    </w:p>
    <w:p>
      <w:pPr>
        <w:spacing w:after="80" w:before="80"/>
        <w:jc w:val="both"/>
      </w:pPr>
      <w:r>
        <w:rPr>
          <w:color w:val="1E293B"/>
          <w:sz w:val="24"/>
          <w:szCs w:val="24"/>
        </w:rPr>
        <w:t xml:space="preserve">3. Microsoft Corporation (2024). Power BI Documentation. https://docs.microsoft.com/power-bi</w:t>
      </w:r>
    </w:p>
    <w:p>
      <w:pPr>
        <w:spacing w:after="80" w:before="80"/>
        <w:jc w:val="both"/>
      </w:pPr>
      <w:r>
        <w:rPr>
          <w:color w:val="1E293B"/>
          <w:sz w:val="24"/>
          <w:szCs w:val="24"/>
        </w:rPr>
        <w:t xml:space="preserve">4. PostgreSQL Global Development Group (2024). PostgreSQL 18 Documentation. https://www.postgresql.org/docs/18/</w:t>
      </w:r>
    </w:p>
    <w:p>
      <w:pPr>
        <w:spacing w:after="80" w:before="80"/>
        <w:jc w:val="both"/>
      </w:pPr>
      <w:r>
        <w:rPr>
          <w:color w:val="1E293B"/>
          <w:sz w:val="24"/>
          <w:szCs w:val="24"/>
        </w:rPr>
        <w:t xml:space="preserve">5. AXELOS (2019). ITIL 4 Foundation. TSO (The Stationery Office).</w:t>
      </w:r>
    </w:p>
    <w:p>
      <w:pPr>
        <w:spacing w:after="80" w:before="80"/>
        <w:jc w:val="both"/>
      </w:pPr>
      <w:r>
        <w:rPr>
          <w:color w:val="1E293B"/>
          <w:sz w:val="24"/>
          <w:szCs w:val="24"/>
        </w:rPr>
        <w:t xml:space="preserve">6. pandas Development Team (2024). pandas Documentation. https://pandas.pydata.org/docs/</w:t>
      </w:r>
    </w:p>
    <w:p>
      <w:pPr>
        <w:spacing w:before="400"/>
      </w:pPr>
    </w:p>
    <w:p>
      <w:pPr>
        <w:jc w:val="center"/>
      </w:pPr>
      <w:r>
        <w:rPr>
          <w:i/>
          <w:iCs/>
          <w:color w:val="64748B"/>
          <w:sz w:val="22"/>
          <w:szCs w:val="22"/>
        </w:rPr>
        <w:t xml:space="preserve">— End of Report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2026-07-05T13:18:30.443Z</dcterms:created>
  <dcterms:modified xsi:type="dcterms:W3CDTF">2026-07-05T13:18:30.455Z</dcterms:modified>
</cp:coreProperties>
</file>

<file path=docProps/custom.xml><?xml version="1.0" encoding="utf-8"?>
<Properties xmlns="http://schemas.openxmlformats.org/officeDocument/2006/custom-properties" xmlns:vt="http://schemas.openxmlformats.org/officeDocument/2006/docPropsVTypes"/>
</file>