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74" w:rsidRPr="00BD5074" w:rsidRDefault="00BD5074" w:rsidP="00BD50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BD507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VOC2011 Annotation Guidelines</w:t>
      </w:r>
    </w:p>
    <w:p w:rsidR="00BD5074" w:rsidRPr="00BD5074" w:rsidRDefault="00BD5074" w:rsidP="00BD5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Guidelines on what and how to label.</w:t>
      </w:r>
    </w:p>
    <w:tbl>
      <w:tblPr>
        <w:tblW w:w="8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7027"/>
      </w:tblGrid>
      <w:tr w:rsidR="00BD5074" w:rsidRPr="00BD5074" w:rsidTr="00BD5074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to label</w:t>
            </w:r>
          </w:p>
        </w:tc>
        <w:tc>
          <w:tcPr>
            <w:tcW w:w="7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All objects of the defined categories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unless:</w:t>
            </w:r>
          </w:p>
          <w:p w:rsidR="00BD5074" w:rsidRPr="00BD5074" w:rsidRDefault="00BD5074" w:rsidP="00BD507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unsure what the object is.</w:t>
            </w:r>
          </w:p>
          <w:p w:rsidR="00BD5074" w:rsidRPr="00BD5074" w:rsidRDefault="00BD5074" w:rsidP="00BD507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is very small (at your discretion).</w:t>
            </w:r>
          </w:p>
          <w:p w:rsidR="00BD5074" w:rsidRPr="00BD5074" w:rsidRDefault="00BD5074" w:rsidP="00BD507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than 10-20% of the object is visible, </w:t>
            </w:r>
            <w:r w:rsidRPr="00BD50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such that you cannot be sure what class it is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e.g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if only a tyre is visible it may belong to car or truck so cannot be labelled car, but feet/faces can only belong to a person.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this is not possible because too many objects, mark image as bad.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Viewpoint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the viewpoint of the ‘bulk’ of the object e.g. the body rather than the head.  Allow viewpoints within 10-20 degrees.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ambiguous, leave as ‘Unspecified’. Unusually rotated objects e.g. upside-down people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be left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'Unspecified'.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Bounding box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 the bounding box of the visible area of the object (</w:t>
            </w:r>
            <w:r w:rsidRPr="00BD50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not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the estimated total extent of the object).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Bounding box should contain all visible pixels, except where the bounding box would have to be made excessively large to include a few additional pixels (&lt;5%) e.g. a car aerial.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Truncation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more than 15-20% of the object lies outside the bounding box mark as Truncated. The flag indicates that the bounding box does not cover the total extent of the object.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Occlusion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more than 5% of the object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occluded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within the bounding box, mark as Occluded. The flag indicates that the object is not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totally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visible within the bounding box.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 quality/ illumination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Images which are poor quality (e.g. excessive motion blur)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should be marked bad.  However, poor illumination (e.g. objects in silhouette) should not count as poor quality unless objects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recognised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Images made up of multiple images (e.g. collages) should be marked bad.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Clothing/mud/ snow etc.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an object is ‘occluded’ by a close-fitting </w:t>
            </w:r>
            <w:proofErr w:type="spell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occluder</w:t>
            </w:r>
            <w:proofErr w:type="spell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e.g. clothing, mud, snow etc.,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occluder</w:t>
            </w:r>
            <w:proofErr w:type="spell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should be treated as part of the object.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Transparency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 label objects visible through glass, but treat reflections on the glass as occlusion.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Mirrors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 label objects in mirrors.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Pictures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 objects in pictures/posters/signs only if they are photorealistic but not if cartoons, symbols etc.</w:t>
            </w:r>
          </w:p>
        </w:tc>
      </w:tr>
    </w:tbl>
    <w:p w:rsidR="00BD5074" w:rsidRPr="00BD5074" w:rsidRDefault="00BD5074" w:rsidP="00BD5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Guidelines on categorisation</w:t>
      </w:r>
    </w:p>
    <w:tbl>
      <w:tblPr>
        <w:tblW w:w="8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7027"/>
      </w:tblGrid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Aeroplane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gliders but not hang gliders or helicopters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Bicycle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tricycles, unicycles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Bird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birds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Boat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Ships, rowing boats, </w:t>
            </w:r>
            <w:proofErr w:type="spell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pedaloes</w:t>
            </w:r>
            <w:proofErr w:type="spell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but not jet skis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Bottle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Plastic, glass or feeding bottles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Bus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minibus but not trams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Car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Includes cars, vans,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family cars for 6-8 people etc.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Excludes go-carts, tractors, emergency vehicles, lorries/trucks etc.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 not label where only the vehicle interior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shown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toys that look just like real cars, but not ‘cartoony’ toys.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Domestic cats (not lions etc.)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Chair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armchairs, deckchairs but not stools or benches.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Excludes seats in buses, cars etc.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Excludes wheelchairs.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Cow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cows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Dining table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Only tables for eating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Not coffee tables, desks, side tables or picnic benches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Domestic dogs (not wolves etc.)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Horse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ponies, donkeys, mules etc.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Motorbike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mopeds, scooters, sidecars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People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babies, faces (i.e. truncated people)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Potted plant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Indoor plants excluding flowers in vases, or outdoor plants clearly in a pot. 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Sheep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Sheep, not goats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Sofa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Excludes sofas made up as sofa-beds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Includes train carriages, excludes trams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TV/monitor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Standalone screens (not laptops), not advertising displays</w:t>
            </w:r>
          </w:p>
        </w:tc>
      </w:tr>
    </w:tbl>
    <w:p w:rsidR="00BD5074" w:rsidRPr="00BD5074" w:rsidRDefault="00BD5074" w:rsidP="00BD5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Guidelines on segmentation</w:t>
      </w:r>
    </w:p>
    <w:tbl>
      <w:tblPr>
        <w:tblW w:w="8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7027"/>
      </w:tblGrid>
      <w:tr w:rsidR="00BD5074" w:rsidRPr="00BD5074" w:rsidTr="00BD5074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to segment</w:t>
            </w:r>
          </w:p>
        </w:tc>
        <w:tc>
          <w:tcPr>
            <w:tcW w:w="7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Objects whose bounding boxes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 been labelled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according to the above guidelines.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may need to exclude backpacks, handbags etc. which were included in the bounding box. 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You may also need to include hands, chair legs etc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which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were </w:t>
            </w:r>
            <w:r w:rsidRPr="00BD50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outside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the bounding box.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Segment within 5 pixels.  Labelled pixels MUST be the object;</w:t>
            </w: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pixels outside the 5-pixel border area MUST be background.  Border pixels can be either.  Use the tri-map displayed by the segmentation tool to ensure these constraints hold.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may involve labelling pixels outside the bounding box.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Mixed pixels/ transparency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Pixels which are mixed e.g. due to transparency, motion blur or the presence of a border should be considered to belong to the object whose colour contributes most to the mix.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 structures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Aim to capture thin structures where possible, within the accuracy constraints.  Structures of around one pixel thickness can be ignored e.g. wires, rigging, whiskers.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Objects on tables etc.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a number of small objects are occluding an object e.g. cutlery/silverware on a dining table, they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considered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 of that object. The exception is if they are sticking out of the object (e.g. candles) where they </w:t>
            </w: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be truncated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the object boundary.</w:t>
            </w:r>
          </w:p>
        </w:tc>
      </w:tr>
      <w:tr w:rsidR="00BD5074" w:rsidRPr="00BD5074" w:rsidTr="00BD5074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0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Difficult images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D5074" w:rsidRPr="00BD5074" w:rsidRDefault="00BD5074" w:rsidP="00BD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Images which are overly difficult to segment to the required accuracy</w:t>
            </w:r>
            <w:proofErr w:type="gramEnd"/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left unlabelled e.g. a nest of bicycles.</w:t>
            </w:r>
          </w:p>
        </w:tc>
      </w:tr>
    </w:tbl>
    <w:p w:rsidR="00BD5074" w:rsidRPr="00BD5074" w:rsidRDefault="00BD5074" w:rsidP="00BD5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 </w:t>
      </w:r>
    </w:p>
    <w:p w:rsidR="00BD5074" w:rsidRPr="00BD5074" w:rsidRDefault="00BD5074" w:rsidP="00BD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5074" w:rsidRPr="00BD5074" w:rsidRDefault="00BD5074" w:rsidP="00BD50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D5074">
        <w:rPr>
          <w:rFonts w:ascii="Arial" w:eastAsia="Times New Roman" w:hAnsi="Arial" w:cs="Arial"/>
          <w:sz w:val="24"/>
          <w:szCs w:val="24"/>
          <w:lang w:eastAsia="en-IN"/>
        </w:rPr>
        <w:t>SquareX</w:t>
      </w:r>
      <w:proofErr w:type="spellEnd"/>
      <w:r w:rsidRPr="00BD5074">
        <w:rPr>
          <w:rFonts w:ascii="Arial" w:eastAsia="Times New Roman" w:hAnsi="Arial" w:cs="Arial"/>
          <w:sz w:val="24"/>
          <w:szCs w:val="24"/>
          <w:lang w:eastAsia="en-IN"/>
        </w:rPr>
        <w:t xml:space="preserve"> Safe File Viewer</w:t>
      </w:r>
    </w:p>
    <w:p w:rsidR="00BD5074" w:rsidRPr="00BD5074" w:rsidRDefault="00BD5074" w:rsidP="00BD5074">
      <w:pPr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BD5074">
        <w:rPr>
          <w:rFonts w:ascii="Segoe UI Symbol" w:eastAsia="Times New Roman" w:hAnsi="Segoe UI Symbol" w:cs="Segoe UI Symbol"/>
          <w:color w:val="FFFFFF"/>
          <w:sz w:val="27"/>
          <w:szCs w:val="27"/>
          <w:lang w:eastAsia="en-IN"/>
        </w:rPr>
        <w:t>✕</w:t>
      </w:r>
    </w:p>
    <w:p w:rsidR="005257E1" w:rsidRDefault="00E645C4">
      <w:bookmarkStart w:id="0" w:name="_GoBack"/>
      <w:bookmarkEnd w:id="0"/>
    </w:p>
    <w:sectPr w:rsidR="0052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C1C11"/>
    <w:multiLevelType w:val="multilevel"/>
    <w:tmpl w:val="F4E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74"/>
    <w:rsid w:val="00BD5074"/>
    <w:rsid w:val="00D542A9"/>
    <w:rsid w:val="00E645C4"/>
    <w:rsid w:val="00E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E94B-3867-4831-B02B-C18AD380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5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50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52">
          <w:marLeft w:val="0"/>
          <w:marRight w:val="0"/>
          <w:marTop w:val="0"/>
          <w:marBottom w:val="0"/>
          <w:divBdr>
            <w:top w:val="single" w:sz="6" w:space="0" w:color="7367F0"/>
            <w:left w:val="single" w:sz="6" w:space="0" w:color="7367F0"/>
            <w:bottom w:val="single" w:sz="6" w:space="0" w:color="7367F0"/>
            <w:right w:val="single" w:sz="6" w:space="0" w:color="7367F0"/>
          </w:divBdr>
          <w:divsChild>
            <w:div w:id="170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3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2024-04-20T09:37:00Z</dcterms:created>
  <dcterms:modified xsi:type="dcterms:W3CDTF">2024-04-20T11:36:00Z</dcterms:modified>
</cp:coreProperties>
</file>