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2BD6" w14:textId="77777777" w:rsidR="009A646B" w:rsidRPr="009A646B" w:rsidRDefault="009A646B" w:rsidP="009A646B">
      <w:pPr>
        <w:jc w:val="center"/>
        <w:rPr>
          <w:b/>
          <w:bCs/>
          <w:sz w:val="28"/>
          <w:szCs w:val="28"/>
          <w:u w:val="single"/>
        </w:rPr>
      </w:pPr>
      <w:r w:rsidRPr="009A646B">
        <w:rPr>
          <w:b/>
          <w:bCs/>
          <w:sz w:val="28"/>
          <w:szCs w:val="28"/>
          <w:u w:val="single"/>
        </w:rPr>
        <w:t>Healthcare Insights Report: Strategic AI Integration for Operational Excellence</w:t>
      </w:r>
    </w:p>
    <w:p w14:paraId="162B4E84" w14:textId="77777777" w:rsidR="009A646B" w:rsidRPr="009A646B" w:rsidRDefault="009A646B" w:rsidP="009A646B">
      <w:pPr>
        <w:rPr>
          <w:b/>
          <w:bCs/>
        </w:rPr>
      </w:pPr>
    </w:p>
    <w:p w14:paraId="513A90CD" w14:textId="77777777" w:rsidR="009A646B" w:rsidRPr="009A646B" w:rsidRDefault="009A646B" w:rsidP="009A646B">
      <w:pPr>
        <w:rPr>
          <w:b/>
          <w:bCs/>
        </w:rPr>
      </w:pPr>
      <w:r w:rsidRPr="009A646B">
        <w:rPr>
          <w:b/>
          <w:bCs/>
        </w:rPr>
        <w:t>Executive Summary</w:t>
      </w:r>
    </w:p>
    <w:p w14:paraId="4ED1DD11" w14:textId="77777777" w:rsidR="009A646B" w:rsidRDefault="009A646B" w:rsidP="009A646B">
      <w:r w:rsidRPr="009A646B">
        <w:t>Our hospital network is currently challenged by unpredictable patient triage pathways and significant revenue leakage from insurance claim rejections. This report outlines the deployment of a dual-model AI system designed to modernize our operational strategy. By leveraging predictive analytics to assess visit risk in real-time and identify claim rejection probability prior to submission, we are shifting from a reactive, manual workflow to a proactive, data-driven framework. This transition is projected to reduce clinical bottlenecks, improve patient safety, and secure our bottom line.</w:t>
      </w:r>
    </w:p>
    <w:p w14:paraId="586E4976" w14:textId="77777777" w:rsidR="009A646B" w:rsidRPr="009A646B" w:rsidRDefault="009A646B" w:rsidP="009A646B"/>
    <w:p w14:paraId="641AB1C9" w14:textId="77777777" w:rsidR="009A646B" w:rsidRPr="009A646B" w:rsidRDefault="009A646B" w:rsidP="009A646B">
      <w:pPr>
        <w:rPr>
          <w:b/>
          <w:bCs/>
        </w:rPr>
      </w:pPr>
      <w:r w:rsidRPr="009A646B">
        <w:rPr>
          <w:b/>
          <w:bCs/>
        </w:rPr>
        <w:t>1. Key Operational and Financial Findings</w:t>
      </w:r>
    </w:p>
    <w:p w14:paraId="6F235956" w14:textId="77777777" w:rsidR="009A646B" w:rsidRPr="009A646B" w:rsidRDefault="009A646B" w:rsidP="009A646B">
      <w:pPr>
        <w:numPr>
          <w:ilvl w:val="0"/>
          <w:numId w:val="1"/>
        </w:numPr>
      </w:pPr>
      <w:r w:rsidRPr="009A646B">
        <w:rPr>
          <w:b/>
          <w:bCs/>
        </w:rPr>
        <w:t>Operational Bottlenecks:</w:t>
      </w:r>
      <w:r w:rsidRPr="009A646B">
        <w:t xml:space="preserve"> Analysis of patient flow data identified "capacity sinks" within the ICU and surgical departments. These units exhibit extended Length of Stay (LOS) outliers that disproportionately strain our bed capacity and staffing resources. </w:t>
      </w:r>
    </w:p>
    <w:p w14:paraId="3A2738F8" w14:textId="77777777" w:rsidR="009A646B" w:rsidRDefault="009A646B" w:rsidP="009A646B">
      <w:pPr>
        <w:numPr>
          <w:ilvl w:val="0"/>
          <w:numId w:val="1"/>
        </w:numPr>
      </w:pPr>
      <w:r w:rsidRPr="009A646B">
        <w:rPr>
          <w:b/>
          <w:bCs/>
        </w:rPr>
        <w:t>Financial Leakage Patterns:</w:t>
      </w:r>
      <w:r w:rsidRPr="009A646B">
        <w:t xml:space="preserve"> We identified that claim rejections are not random events; they are highly correlated with specific insurance providers and billing deviations from departmental averages. These "trouble accounts" represent a significant opportunity for revenue recovery if caught before submission. </w:t>
      </w:r>
    </w:p>
    <w:p w14:paraId="4E507169" w14:textId="77777777" w:rsidR="009A646B" w:rsidRPr="009A646B" w:rsidRDefault="009A646B" w:rsidP="009A646B">
      <w:pPr>
        <w:ind w:left="720"/>
      </w:pPr>
    </w:p>
    <w:p w14:paraId="0DC15E55" w14:textId="77777777" w:rsidR="009A646B" w:rsidRPr="009A646B" w:rsidRDefault="009A646B" w:rsidP="009A646B">
      <w:pPr>
        <w:rPr>
          <w:b/>
          <w:bCs/>
        </w:rPr>
      </w:pPr>
      <w:r w:rsidRPr="009A646B">
        <w:rPr>
          <w:b/>
          <w:bCs/>
        </w:rPr>
        <w:t>2. System Architecture &amp; Value Proposition</w:t>
      </w:r>
    </w:p>
    <w:p w14:paraId="4E4CAD5B" w14:textId="77777777" w:rsidR="009A646B" w:rsidRPr="009A646B" w:rsidRDefault="009A646B" w:rsidP="009A646B">
      <w:r w:rsidRPr="009A646B">
        <w:t>The system acts as an "intelligent safety net" integrated directly into our existing clinical and billing infrastructure:</w:t>
      </w:r>
    </w:p>
    <w:p w14:paraId="6EA36B06" w14:textId="77777777" w:rsidR="009A646B" w:rsidRPr="009A646B" w:rsidRDefault="009A646B" w:rsidP="009A646B">
      <w:pPr>
        <w:numPr>
          <w:ilvl w:val="0"/>
          <w:numId w:val="2"/>
        </w:numPr>
      </w:pPr>
      <w:r w:rsidRPr="009A646B">
        <w:rPr>
          <w:b/>
          <w:bCs/>
        </w:rPr>
        <w:t>Architecture:</w:t>
      </w:r>
      <w:r w:rsidRPr="009A646B">
        <w:t xml:space="preserve"> The pipeline automates data ingestion, rigorous cleaning (Phase 2), feature engineering (Phase 3), and real-time validation (Phase 6). The entire solution is containerized using Docker, ensuring it is cloud-ready and scalable for hospital-wide adoption. </w:t>
      </w:r>
    </w:p>
    <w:p w14:paraId="0E4DC5C3" w14:textId="77777777" w:rsidR="009A646B" w:rsidRDefault="009A646B" w:rsidP="009A646B">
      <w:pPr>
        <w:numPr>
          <w:ilvl w:val="0"/>
          <w:numId w:val="2"/>
        </w:numPr>
      </w:pPr>
      <w:r w:rsidRPr="009A646B">
        <w:rPr>
          <w:b/>
          <w:bCs/>
        </w:rPr>
        <w:t>Governance &amp; Auditability:</w:t>
      </w:r>
      <w:r w:rsidRPr="009A646B">
        <w:t xml:space="preserve"> To ensure transparency, every prediction is recorded with a unique digital fingerprint (audit hash). This provides our clinical and financial auditors with a complete, tamper-proof trail of the logic behind every system-generated recommendation. </w:t>
      </w:r>
    </w:p>
    <w:p w14:paraId="6111FD2F" w14:textId="77777777" w:rsidR="009A646B" w:rsidRDefault="009A646B" w:rsidP="009A646B">
      <w:pPr>
        <w:ind w:left="720"/>
        <w:rPr>
          <w:b/>
          <w:bCs/>
        </w:rPr>
      </w:pPr>
    </w:p>
    <w:p w14:paraId="2A94345E" w14:textId="77777777" w:rsidR="009A646B" w:rsidRDefault="009A646B" w:rsidP="009A646B">
      <w:pPr>
        <w:ind w:left="720"/>
        <w:rPr>
          <w:b/>
          <w:bCs/>
        </w:rPr>
      </w:pPr>
    </w:p>
    <w:p w14:paraId="145F4ED0" w14:textId="77777777" w:rsidR="009A646B" w:rsidRDefault="009A646B" w:rsidP="009A646B">
      <w:pPr>
        <w:ind w:left="720"/>
        <w:rPr>
          <w:b/>
          <w:bCs/>
        </w:rPr>
      </w:pPr>
    </w:p>
    <w:p w14:paraId="0EAFE233" w14:textId="77777777" w:rsidR="009A646B" w:rsidRPr="009A646B" w:rsidRDefault="009A646B" w:rsidP="009A646B">
      <w:pPr>
        <w:ind w:left="720"/>
      </w:pPr>
    </w:p>
    <w:p w14:paraId="58A871A0" w14:textId="77777777" w:rsidR="009A646B" w:rsidRPr="009A646B" w:rsidRDefault="009A646B" w:rsidP="009A646B">
      <w:pPr>
        <w:rPr>
          <w:b/>
          <w:bCs/>
        </w:rPr>
      </w:pPr>
      <w:r w:rsidRPr="009A646B">
        <w:rPr>
          <w:b/>
          <w:bCs/>
        </w:rPr>
        <w:t>3. Model Impact Summary</w:t>
      </w:r>
    </w:p>
    <w:p w14:paraId="511BF246" w14:textId="77777777" w:rsidR="009A646B" w:rsidRPr="009A646B" w:rsidRDefault="009A646B" w:rsidP="009A646B">
      <w:pPr>
        <w:numPr>
          <w:ilvl w:val="0"/>
          <w:numId w:val="3"/>
        </w:numPr>
      </w:pPr>
      <w:r w:rsidRPr="009A646B">
        <w:rPr>
          <w:b/>
          <w:bCs/>
        </w:rPr>
        <w:t>Clinical Triage Precision (Model A):</w:t>
      </w:r>
      <w:r w:rsidRPr="009A646B">
        <w:t xml:space="preserve"> Optimized for </w:t>
      </w:r>
      <w:r w:rsidRPr="009A646B">
        <w:rPr>
          <w:i/>
          <w:iCs/>
        </w:rPr>
        <w:t>Recall</w:t>
      </w:r>
      <w:r w:rsidRPr="009A646B">
        <w:t xml:space="preserve">, this model acts as a safety-first triage assistant. It prioritizes identifying high-risk patients to ensure no critical cases are mis-triaged, placing patient safety above all other metrics. </w:t>
      </w:r>
    </w:p>
    <w:p w14:paraId="382A3787" w14:textId="77777777" w:rsidR="009A646B" w:rsidRDefault="009A646B" w:rsidP="009A646B">
      <w:pPr>
        <w:numPr>
          <w:ilvl w:val="0"/>
          <w:numId w:val="3"/>
        </w:numPr>
      </w:pPr>
      <w:r w:rsidRPr="009A646B">
        <w:rPr>
          <w:b/>
          <w:bCs/>
        </w:rPr>
        <w:t>Revenue Protection (Model B):</w:t>
      </w:r>
      <w:r w:rsidRPr="009A646B">
        <w:t xml:space="preserve"> Serving as a financial gatekeeper, this model intercepts high-rejection-probability claims. By moving from reactive detection to proactive correction, we significantly reduce administrative overhead and time-to-payment, protecting essential cash flow. </w:t>
      </w:r>
    </w:p>
    <w:p w14:paraId="769BA039" w14:textId="77777777" w:rsidR="009A646B" w:rsidRPr="009A646B" w:rsidRDefault="009A646B" w:rsidP="009A646B">
      <w:pPr>
        <w:ind w:left="720"/>
      </w:pPr>
    </w:p>
    <w:p w14:paraId="46A1168D" w14:textId="77777777" w:rsidR="009A646B" w:rsidRPr="009A646B" w:rsidRDefault="009A646B" w:rsidP="009A646B">
      <w:pPr>
        <w:rPr>
          <w:b/>
          <w:bCs/>
        </w:rPr>
      </w:pPr>
      <w:r w:rsidRPr="009A646B">
        <w:rPr>
          <w:b/>
          <w:bCs/>
        </w:rPr>
        <w:t>4. Business Recommendations for Hospital Leadership</w:t>
      </w:r>
    </w:p>
    <w:p w14:paraId="2CEAF744" w14:textId="77777777" w:rsidR="009A646B" w:rsidRPr="009A646B" w:rsidRDefault="009A646B" w:rsidP="009A646B">
      <w:r w:rsidRPr="009A646B">
        <w:t>To maximize the value of this investment, we recommend the following strategic actions:</w:t>
      </w:r>
    </w:p>
    <w:p w14:paraId="4D1CAF96" w14:textId="77777777" w:rsidR="009A646B" w:rsidRPr="009A646B" w:rsidRDefault="009A646B" w:rsidP="009A646B">
      <w:pPr>
        <w:numPr>
          <w:ilvl w:val="0"/>
          <w:numId w:val="4"/>
        </w:numPr>
      </w:pPr>
      <w:r w:rsidRPr="009A646B">
        <w:rPr>
          <w:b/>
          <w:bCs/>
        </w:rPr>
        <w:t>Sponsorship of Full-Scale Adoption:</w:t>
      </w:r>
      <w:r w:rsidRPr="009A646B">
        <w:t xml:space="preserve"> We recommend transitioning from the current pilot to full-scale integration across the hospital’s patient management dashboard. The solution is production-ready, well-documented, and designed for enterprise-wide scaling. </w:t>
      </w:r>
    </w:p>
    <w:p w14:paraId="6088FD0F" w14:textId="77777777" w:rsidR="009A646B" w:rsidRPr="009A646B" w:rsidRDefault="009A646B" w:rsidP="009A646B">
      <w:pPr>
        <w:numPr>
          <w:ilvl w:val="0"/>
          <w:numId w:val="4"/>
        </w:numPr>
      </w:pPr>
      <w:r w:rsidRPr="009A646B">
        <w:rPr>
          <w:b/>
          <w:bCs/>
        </w:rPr>
        <w:t>Implementation of Continuous Monitoring:</w:t>
      </w:r>
      <w:r w:rsidRPr="009A646B">
        <w:t xml:space="preserve"> We propose the immediate adoption of our automated drift-detection framework (KS-tests). This ensures the AI remains compliant and accurate even if the medical landscape or insurance policies change in the future. </w:t>
      </w:r>
    </w:p>
    <w:p w14:paraId="0261140D" w14:textId="77777777" w:rsidR="009A646B" w:rsidRDefault="009A646B" w:rsidP="009A646B">
      <w:pPr>
        <w:numPr>
          <w:ilvl w:val="0"/>
          <w:numId w:val="4"/>
        </w:numPr>
      </w:pPr>
      <w:r w:rsidRPr="009A646B">
        <w:rPr>
          <w:b/>
          <w:bCs/>
        </w:rPr>
        <w:t>Operational Workflow Redesign:</w:t>
      </w:r>
      <w:r w:rsidRPr="009A646B">
        <w:t xml:space="preserve"> To achieve the highest Return on Investment (ROI), we recommend an immediate workflow change: Claims flagged as "High Rejection Probability" should automatically trigger a pre-submission review by the billing team. </w:t>
      </w:r>
    </w:p>
    <w:p w14:paraId="06D8A08A" w14:textId="77777777" w:rsidR="009A646B" w:rsidRPr="009A646B" w:rsidRDefault="009A646B" w:rsidP="009A646B">
      <w:pPr>
        <w:ind w:left="720"/>
      </w:pPr>
    </w:p>
    <w:p w14:paraId="614AE3E7" w14:textId="77777777" w:rsidR="009A646B" w:rsidRPr="009A646B" w:rsidRDefault="009A646B" w:rsidP="009A646B">
      <w:pPr>
        <w:rPr>
          <w:b/>
          <w:bCs/>
        </w:rPr>
      </w:pPr>
      <w:r w:rsidRPr="009A646B">
        <w:rPr>
          <w:b/>
          <w:bCs/>
        </w:rPr>
        <w:t>Conclusion</w:t>
      </w:r>
    </w:p>
    <w:p w14:paraId="11160311" w14:textId="77777777" w:rsidR="009A646B" w:rsidRPr="009A646B" w:rsidRDefault="009A646B" w:rsidP="009A646B">
      <w:r w:rsidRPr="009A646B">
        <w:t>This AI-driven integration is not merely a technical upgrade; it is a strategic shift toward operational excellence. By addressing the root causes of triage inefficiency and revenue loss, this system provides immediate, measurable value. We recommend full sponsorship to secure these gains and ensure our facility remains at the forefront of data-driven healthcare.</w:t>
      </w:r>
    </w:p>
    <w:p w14:paraId="3933493B" w14:textId="77777777" w:rsidR="009A646B" w:rsidRDefault="009A646B"/>
    <w:sectPr w:rsidR="009A6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699"/>
    <w:multiLevelType w:val="multilevel"/>
    <w:tmpl w:val="462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B021B"/>
    <w:multiLevelType w:val="multilevel"/>
    <w:tmpl w:val="E38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54D14"/>
    <w:multiLevelType w:val="multilevel"/>
    <w:tmpl w:val="820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87DC8"/>
    <w:multiLevelType w:val="multilevel"/>
    <w:tmpl w:val="823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342875">
    <w:abstractNumId w:val="2"/>
  </w:num>
  <w:num w:numId="2" w16cid:durableId="1829785452">
    <w:abstractNumId w:val="3"/>
  </w:num>
  <w:num w:numId="3" w16cid:durableId="1172450063">
    <w:abstractNumId w:val="0"/>
  </w:num>
  <w:num w:numId="4" w16cid:durableId="1684746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6B"/>
    <w:rsid w:val="005F1A8F"/>
    <w:rsid w:val="009A6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26A7"/>
  <w15:chartTrackingRefBased/>
  <w15:docId w15:val="{83D9F3D8-AACB-4914-A7F7-E6E750C0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4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4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4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4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4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4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4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4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4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6B"/>
    <w:rPr>
      <w:rFonts w:eastAsiaTheme="majorEastAsia" w:cstheme="majorBidi"/>
      <w:color w:val="272727" w:themeColor="text1" w:themeTint="D8"/>
    </w:rPr>
  </w:style>
  <w:style w:type="paragraph" w:styleId="Title">
    <w:name w:val="Title"/>
    <w:basedOn w:val="Normal"/>
    <w:next w:val="Normal"/>
    <w:link w:val="TitleChar"/>
    <w:uiPriority w:val="10"/>
    <w:qFormat/>
    <w:rsid w:val="009A6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6B"/>
    <w:pPr>
      <w:spacing w:before="160"/>
      <w:jc w:val="center"/>
    </w:pPr>
    <w:rPr>
      <w:i/>
      <w:iCs/>
      <w:color w:val="404040" w:themeColor="text1" w:themeTint="BF"/>
    </w:rPr>
  </w:style>
  <w:style w:type="character" w:customStyle="1" w:styleId="QuoteChar">
    <w:name w:val="Quote Char"/>
    <w:basedOn w:val="DefaultParagraphFont"/>
    <w:link w:val="Quote"/>
    <w:uiPriority w:val="29"/>
    <w:rsid w:val="009A646B"/>
    <w:rPr>
      <w:i/>
      <w:iCs/>
      <w:color w:val="404040" w:themeColor="text1" w:themeTint="BF"/>
    </w:rPr>
  </w:style>
  <w:style w:type="paragraph" w:styleId="ListParagraph">
    <w:name w:val="List Paragraph"/>
    <w:basedOn w:val="Normal"/>
    <w:uiPriority w:val="34"/>
    <w:qFormat/>
    <w:rsid w:val="009A646B"/>
    <w:pPr>
      <w:ind w:left="720"/>
      <w:contextualSpacing/>
    </w:pPr>
  </w:style>
  <w:style w:type="character" w:styleId="IntenseEmphasis">
    <w:name w:val="Intense Emphasis"/>
    <w:basedOn w:val="DefaultParagraphFont"/>
    <w:uiPriority w:val="21"/>
    <w:qFormat/>
    <w:rsid w:val="009A646B"/>
    <w:rPr>
      <w:i/>
      <w:iCs/>
      <w:color w:val="2F5496" w:themeColor="accent1" w:themeShade="BF"/>
    </w:rPr>
  </w:style>
  <w:style w:type="paragraph" w:styleId="IntenseQuote">
    <w:name w:val="Intense Quote"/>
    <w:basedOn w:val="Normal"/>
    <w:next w:val="Normal"/>
    <w:link w:val="IntenseQuoteChar"/>
    <w:uiPriority w:val="30"/>
    <w:qFormat/>
    <w:rsid w:val="009A64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46B"/>
    <w:rPr>
      <w:i/>
      <w:iCs/>
      <w:color w:val="2F5496" w:themeColor="accent1" w:themeShade="BF"/>
    </w:rPr>
  </w:style>
  <w:style w:type="character" w:styleId="IntenseReference">
    <w:name w:val="Intense Reference"/>
    <w:basedOn w:val="DefaultParagraphFont"/>
    <w:uiPriority w:val="32"/>
    <w:qFormat/>
    <w:rsid w:val="009A64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Verma</dc:creator>
  <cp:keywords/>
  <dc:description/>
  <cp:lastModifiedBy>Ashish Verma</cp:lastModifiedBy>
  <cp:revision>1</cp:revision>
  <dcterms:created xsi:type="dcterms:W3CDTF">2026-06-06T14:31:00Z</dcterms:created>
  <dcterms:modified xsi:type="dcterms:W3CDTF">2026-06-06T14:32:00Z</dcterms:modified>
</cp:coreProperties>
</file>