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810F" w14:textId="77777777" w:rsidR="00C31515" w:rsidRDefault="00C31515" w:rsidP="00C31515">
      <w:pPr>
        <w:jc w:val="center"/>
        <w:rPr>
          <w:b/>
          <w:bCs/>
          <w:sz w:val="40"/>
          <w:szCs w:val="40"/>
          <w:u w:val="single"/>
        </w:rPr>
      </w:pPr>
      <w:r w:rsidRPr="00C31515">
        <w:rPr>
          <w:b/>
          <w:bCs/>
          <w:sz w:val="40"/>
          <w:szCs w:val="40"/>
          <w:u w:val="single"/>
        </w:rPr>
        <w:t>Risk Model Evaluation Report</w:t>
      </w:r>
    </w:p>
    <w:p w14:paraId="0BF2D73A" w14:textId="77777777" w:rsidR="00C31515" w:rsidRPr="00C31515" w:rsidRDefault="00C31515" w:rsidP="00C31515">
      <w:pPr>
        <w:jc w:val="center"/>
        <w:rPr>
          <w:sz w:val="40"/>
          <w:szCs w:val="40"/>
          <w:u w:val="single"/>
        </w:rPr>
      </w:pPr>
    </w:p>
    <w:p w14:paraId="54FCC31C" w14:textId="77777777" w:rsidR="00C31515" w:rsidRDefault="00C31515" w:rsidP="00C31515">
      <w:r w:rsidRPr="00C31515">
        <w:rPr>
          <w:b/>
          <w:bCs/>
          <w:u w:val="single"/>
        </w:rPr>
        <w:t>Performance Overview:</w:t>
      </w:r>
      <w:r w:rsidRPr="00C31515">
        <w:t xml:space="preserve"> The Visit Risk model (Random Forest) was evaluated on both training and test data using time-based splitting to prevent leakage. The model successfully distinguished between Low, Medium, and High-risk patients without severe overfitting, as indicated by consistent F1-scores across train and test sets.</w:t>
      </w:r>
    </w:p>
    <w:p w14:paraId="31F131DC" w14:textId="77777777" w:rsidR="00C31515" w:rsidRPr="00C31515" w:rsidRDefault="00C31515" w:rsidP="00C31515"/>
    <w:p w14:paraId="7FD5FEE1" w14:textId="77777777" w:rsidR="00C31515" w:rsidRPr="00C31515" w:rsidRDefault="00C31515" w:rsidP="00C31515">
      <w:r w:rsidRPr="00C31515">
        <w:rPr>
          <w:b/>
          <w:bCs/>
          <w:u w:val="single"/>
        </w:rPr>
        <w:t>Business Metric Focus:</w:t>
      </w:r>
      <w:r w:rsidRPr="00C31515">
        <w:t xml:space="preserve"> As per operational requirements, the primary business metric was the </w:t>
      </w:r>
      <w:r w:rsidRPr="00C31515">
        <w:rPr>
          <w:b/>
          <w:bCs/>
        </w:rPr>
        <w:t>Recall for the 'High Risk' class</w:t>
      </w:r>
      <w:r w:rsidRPr="00C31515">
        <w:t>. The model prioritized identifying high-risk individuals over overall accuracy, ensuring that critically ill patients are not incorrectly triaged as low risk. The confusion matrix indicates minimal false negatives in this critical category.</w:t>
      </w:r>
    </w:p>
    <w:p w14:paraId="09F25D5E" w14:textId="77777777" w:rsidR="00C31515" w:rsidRDefault="00C31515"/>
    <w:sectPr w:rsidR="00C3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15"/>
    <w:rsid w:val="009A56C6"/>
    <w:rsid w:val="00C3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0FD3"/>
  <w15:chartTrackingRefBased/>
  <w15:docId w15:val="{D3C2B7CC-61F6-4938-9F07-CB6D3A57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2026-06-06T13:35:00Z</dcterms:created>
  <dcterms:modified xsi:type="dcterms:W3CDTF">2026-06-06T13:36:00Z</dcterms:modified>
</cp:coreProperties>
</file>