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D105D" w14:textId="77777777" w:rsidR="00B210C6" w:rsidRDefault="00000000">
      <w:pPr>
        <w:pStyle w:val="Title"/>
      </w:pPr>
      <w:r>
        <w:t>Heart Disease MLOps: Assignment Report</w:t>
      </w:r>
    </w:p>
    <w:p w14:paraId="2EB99581" w14:textId="77777777" w:rsidR="00B210C6" w:rsidRDefault="00000000">
      <w:r>
        <w:rPr>
          <w:b/>
        </w:rPr>
        <w:t>Course:</w:t>
      </w:r>
      <w:r>
        <w:t xml:space="preserve"> AIMLCZG523, MLOps Assignment 01</w:t>
      </w:r>
    </w:p>
    <w:p w14:paraId="20A947E9" w14:textId="77777777" w:rsidR="00B210C6" w:rsidRDefault="00000000">
      <w:r>
        <w:rPr>
          <w:b/>
        </w:rPr>
        <w:t>Prepared by:</w:t>
      </w:r>
      <w:r>
        <w:t xml:space="preserve"> Ashita Kumari</w:t>
      </w:r>
    </w:p>
    <w:p w14:paraId="19388B84" w14:textId="255456B6" w:rsidR="00B210C6" w:rsidRDefault="0096041F">
      <w:r>
        <w:rPr>
          <w:b/>
        </w:rPr>
        <w:t>GitHub Repository:</w:t>
      </w:r>
      <w:r>
        <w:t xml:space="preserve"> Ashita-kumari/</w:t>
      </w:r>
      <w:proofErr w:type="spellStart"/>
      <w:r>
        <w:t>MLOPs_project</w:t>
      </w:r>
      <w:proofErr w:type="spellEnd"/>
      <w:r>
        <w:t xml:space="preserve"> (https://github.com/Ashita-kumari/MLOPs_project)</w:t>
      </w:r>
    </w:p>
    <w:p w14:paraId="294D0093" w14:textId="3A1CD972" w:rsidR="00B210C6" w:rsidRDefault="00000000">
      <w:r>
        <w:rPr>
          <w:b/>
        </w:rPr>
        <w:t>Dataset:</w:t>
      </w:r>
      <w:r>
        <w:t xml:space="preserve"> UCI Heart Disease, dataset 45 (</w:t>
      </w:r>
      <w:hyperlink r:id="rId8" w:history="1">
        <w:r w:rsidR="0096041F" w:rsidRPr="00364697">
          <w:rPr>
            <w:rStyle w:val="Hyperlink"/>
          </w:rPr>
          <w:t>https://archive.ics.uci.edu/dataset/45/heart+disease</w:t>
        </w:r>
      </w:hyperlink>
      <w:r>
        <w:t>)</w:t>
      </w:r>
    </w:p>
    <w:p w14:paraId="4B6DB14A" w14:textId="54F45941" w:rsidR="0096041F" w:rsidRDefault="00454C06">
      <w:r>
        <w:rPr>
          <w:b/>
        </w:rPr>
        <w:t>Video Link</w:t>
      </w:r>
      <w:r w:rsidR="0096041F">
        <w:rPr>
          <w:b/>
        </w:rPr>
        <w:t>:</w:t>
      </w:r>
      <w:r w:rsidR="0096041F">
        <w:t xml:space="preserve"> </w:t>
      </w:r>
      <w:hyperlink r:id="rId9" w:history="1">
        <w:r w:rsidR="007267CE" w:rsidRPr="007267CE">
          <w:rPr>
            <w:rStyle w:val="Hyperlink"/>
          </w:rPr>
          <w:t>https://drive.google.com/drive/folders/15Anzbpsxag13cpAZZU</w:t>
        </w:r>
        <w:r w:rsidR="007267CE" w:rsidRPr="007267CE">
          <w:rPr>
            <w:rStyle w:val="Hyperlink"/>
          </w:rPr>
          <w:t>j</w:t>
        </w:r>
        <w:r w:rsidR="007267CE" w:rsidRPr="007267CE">
          <w:rPr>
            <w:rStyle w:val="Hyperlink"/>
          </w:rPr>
          <w:t>2TdeTtH69ok2L?usp=drive_link</w:t>
        </w:r>
      </w:hyperlink>
    </w:p>
    <w:p w14:paraId="676FC060" w14:textId="31F99039" w:rsidR="00B210C6" w:rsidRDefault="00000000">
      <w:pPr>
        <w:pStyle w:val="Heading1"/>
      </w:pPr>
      <w:r>
        <w:t xml:space="preserve">1. </w:t>
      </w:r>
      <w:r w:rsidR="00AC6FEA">
        <w:t>S</w:t>
      </w:r>
      <w:r>
        <w:t>ummary</w:t>
      </w:r>
    </w:p>
    <w:p w14:paraId="453400C3" w14:textId="77777777" w:rsidR="00B210C6" w:rsidRDefault="00000000">
      <w:r>
        <w:t>I built this project to demonstrate a reproducible MLOps workflow using the processed Cleveland subset of the UCI Heart Disease dataset. I implemented data acquisition and normalization, exploratory analysis, leakage-conscious preprocessing, comparison of three tuned classifiers, MLflow tracking, a FastAPI prediction service, Docker packaging, local Kubernetes deployment, and Prometheus/Grafana monitoring.</w:t>
      </w:r>
    </w:p>
    <w:p w14:paraId="770E032A" w14:textId="3F156C39" w:rsidR="00B210C6" w:rsidRDefault="00000000">
      <w:r>
        <w:t xml:space="preserve">In the </w:t>
      </w:r>
      <w:proofErr w:type="spellStart"/>
      <w:r>
        <w:t>MLflow</w:t>
      </w:r>
      <w:proofErr w:type="spellEnd"/>
      <w:r>
        <w:t xml:space="preserve"> runs I captured, Logistic Regression ranked first by five-fold cross-validation ROC-AUC (0.911344). </w:t>
      </w:r>
      <w:r w:rsidR="008F6641">
        <w:t>I</w:t>
      </w:r>
      <w:r>
        <w:t>t achieved accuracy 0.885246, precision 0.838710, recall 0.928571, and ROC-AUC 0.961039.</w:t>
      </w:r>
      <w:r w:rsidR="00EE4355">
        <w:t xml:space="preserve"> The whole project is uploaded in the GitHub whose link provide above</w:t>
      </w:r>
      <w:r>
        <w:t>.</w:t>
      </w:r>
    </w:p>
    <w:p w14:paraId="6F9C69A7" w14:textId="77777777" w:rsidR="00B210C6" w:rsidRDefault="00000000">
      <w:pPr>
        <w:pStyle w:val="Heading1"/>
      </w:pPr>
      <w:r>
        <w:t>2. Data and target definition</w:t>
      </w:r>
    </w:p>
    <w:p w14:paraId="5E8E0E32" w14:textId="77777777" w:rsidR="00B210C6" w:rsidRDefault="00000000">
      <w:r>
        <w:t xml:space="preserve">I used the processed Cleveland subset, which contains 303 records and 13 predictors. I binarized the original </w:t>
      </w:r>
      <w:r>
        <w:rPr>
          <w:rFonts w:ascii="Consolas" w:hAnsi="Consolas"/>
          <w:color w:val="596762"/>
          <w:sz w:val="18"/>
        </w:rPr>
        <w:t>num</w:t>
      </w:r>
      <w:r>
        <w:t xml:space="preserve"> target so source value 0 maps to class 0 and source values 1 through 4 map to class 1. The resulting distribution is 164 class-0 records (54.1%) and 139 class-1 records (45.9%). This is a moderately balanced split, not a population prevalence estimate.</w:t>
      </w:r>
    </w:p>
    <w:p w14:paraId="0AC38EFA" w14:textId="77777777" w:rsidR="00B210C6" w:rsidRDefault="00000000">
      <w:r>
        <w:t>The fields are age, sex, chest-pain type (</w:t>
      </w:r>
      <w:r>
        <w:rPr>
          <w:rFonts w:ascii="Consolas" w:hAnsi="Consolas"/>
          <w:color w:val="596762"/>
          <w:sz w:val="18"/>
        </w:rPr>
        <w:t>cp</w:t>
      </w:r>
      <w:r>
        <w:t>), resting blood pressure (</w:t>
      </w:r>
      <w:r>
        <w:rPr>
          <w:rFonts w:ascii="Consolas" w:hAnsi="Consolas"/>
          <w:color w:val="596762"/>
          <w:sz w:val="18"/>
        </w:rPr>
        <w:t>trestbps</w:t>
      </w:r>
      <w:r>
        <w:t>), cholesterol (</w:t>
      </w:r>
      <w:r>
        <w:rPr>
          <w:rFonts w:ascii="Consolas" w:hAnsi="Consolas"/>
          <w:color w:val="596762"/>
          <w:sz w:val="18"/>
        </w:rPr>
        <w:t>chol</w:t>
      </w:r>
      <w:r>
        <w:t>), fasting blood sugar (</w:t>
      </w:r>
      <w:r>
        <w:rPr>
          <w:rFonts w:ascii="Consolas" w:hAnsi="Consolas"/>
          <w:color w:val="596762"/>
          <w:sz w:val="18"/>
        </w:rPr>
        <w:t>fbs</w:t>
      </w:r>
      <w:r>
        <w:t>), resting ECG (</w:t>
      </w:r>
      <w:r>
        <w:rPr>
          <w:rFonts w:ascii="Consolas" w:hAnsi="Consolas"/>
          <w:color w:val="596762"/>
          <w:sz w:val="18"/>
        </w:rPr>
        <w:t>restecg</w:t>
      </w:r>
      <w:r>
        <w:t>), maximum heart rate (</w:t>
      </w:r>
      <w:r>
        <w:rPr>
          <w:rFonts w:ascii="Consolas" w:hAnsi="Consolas"/>
          <w:color w:val="596762"/>
          <w:sz w:val="18"/>
        </w:rPr>
        <w:t>thalach</w:t>
      </w:r>
      <w:r>
        <w:t>), exercise-induced angina (</w:t>
      </w:r>
      <w:r>
        <w:rPr>
          <w:rFonts w:ascii="Consolas" w:hAnsi="Consolas"/>
          <w:color w:val="596762"/>
          <w:sz w:val="18"/>
        </w:rPr>
        <w:t>exang</w:t>
      </w:r>
      <w:r>
        <w:t>), ST depression (</w:t>
      </w:r>
      <w:r>
        <w:rPr>
          <w:rFonts w:ascii="Consolas" w:hAnsi="Consolas"/>
          <w:color w:val="596762"/>
          <w:sz w:val="18"/>
        </w:rPr>
        <w:t>oldpeak</w:t>
      </w:r>
      <w:r>
        <w:t>), peak-exercise ST slope (</w:t>
      </w:r>
      <w:r>
        <w:rPr>
          <w:rFonts w:ascii="Consolas" w:hAnsi="Consolas"/>
          <w:color w:val="596762"/>
          <w:sz w:val="18"/>
        </w:rPr>
        <w:t>slope</w:t>
      </w:r>
      <w:r>
        <w:t>), fluoroscopy vessel count (</w:t>
      </w:r>
      <w:r>
        <w:rPr>
          <w:rFonts w:ascii="Consolas" w:hAnsi="Consolas"/>
          <w:color w:val="596762"/>
          <w:sz w:val="18"/>
        </w:rPr>
        <w:t>ca</w:t>
      </w:r>
      <w:r>
        <w:t>), and thal test category (</w:t>
      </w:r>
      <w:r>
        <w:rPr>
          <w:rFonts w:ascii="Consolas" w:hAnsi="Consolas"/>
          <w:color w:val="596762"/>
          <w:sz w:val="18"/>
        </w:rPr>
        <w:t>thal</w:t>
      </w:r>
      <w:r>
        <w:t>). The source uses coded categories; those numeric codes are not generally meaningful measurements.</w:t>
      </w:r>
    </w:p>
    <w:p w14:paraId="0B50B523" w14:textId="77777777" w:rsidR="00B210C6" w:rsidRDefault="00000000">
      <w:r>
        <w:t xml:space="preserve">My normalized table has four missing </w:t>
      </w:r>
      <w:r>
        <w:rPr>
          <w:rFonts w:ascii="Consolas" w:hAnsi="Consolas"/>
          <w:color w:val="596762"/>
          <w:sz w:val="18"/>
        </w:rPr>
        <w:t>ca</w:t>
      </w:r>
      <w:r>
        <w:t xml:space="preserve"> values and two missing </w:t>
      </w:r>
      <w:r>
        <w:rPr>
          <w:rFonts w:ascii="Consolas" w:hAnsi="Consolas"/>
          <w:color w:val="596762"/>
          <w:sz w:val="18"/>
        </w:rPr>
        <w:t>thal</w:t>
      </w:r>
      <w:r>
        <w:t xml:space="preserve"> values. I use </w:t>
      </w:r>
      <w:r>
        <w:rPr>
          <w:rFonts w:ascii="Consolas" w:hAnsi="Consolas"/>
          <w:color w:val="596762"/>
          <w:sz w:val="18"/>
        </w:rPr>
        <w:t>scripts/download_data.py</w:t>
      </w:r>
      <w:r>
        <w:t xml:space="preserve"> to retrieve the processed data and normalize missing-value markers and the target; </w:t>
      </w:r>
      <w:r>
        <w:rPr>
          <w:rFonts w:ascii="Consolas" w:hAnsi="Consolas"/>
          <w:color w:val="596762"/>
          <w:sz w:val="18"/>
        </w:rPr>
        <w:t>scripts/run_eda.py</w:t>
      </w:r>
      <w:r>
        <w:t xml:space="preserve"> produces the figures in </w:t>
      </w:r>
      <w:r>
        <w:rPr>
          <w:rFonts w:ascii="Consolas" w:hAnsi="Consolas"/>
          <w:color w:val="596762"/>
          <w:sz w:val="18"/>
        </w:rPr>
        <w:t>artifacts/eda/</w:t>
      </w:r>
      <w:r>
        <w:t>.</w:t>
      </w:r>
    </w:p>
    <w:p w14:paraId="3241A88D" w14:textId="77777777" w:rsidR="00B210C6" w:rsidRDefault="00000000">
      <w:pPr>
        <w:pStyle w:val="Heading1"/>
      </w:pPr>
      <w:r>
        <w:lastRenderedPageBreak/>
        <w:t>3. Exploratory data analysis</w:t>
      </w:r>
    </w:p>
    <w:p w14:paraId="1BEC02D7" w14:textId="77777777" w:rsidR="00B210C6" w:rsidRDefault="00000000">
      <w:pPr>
        <w:jc w:val="center"/>
      </w:pPr>
      <w:r>
        <w:rPr>
          <w:noProof/>
        </w:rPr>
        <w:drawing>
          <wp:inline distT="0" distB="0" distL="0" distR="0" wp14:anchorId="42E70BF4" wp14:editId="34C25E64">
            <wp:extent cx="4389120" cy="29260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bal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5AEDF" w14:textId="77777777" w:rsidR="00B210C6" w:rsidRDefault="00000000">
      <w:pPr>
        <w:pStyle w:val="Caption"/>
        <w:jc w:val="center"/>
      </w:pPr>
      <w:r>
        <w:t>Target counts and missing-value counts</w:t>
      </w:r>
    </w:p>
    <w:p w14:paraId="4E8286C4" w14:textId="77777777" w:rsidR="00B210C6" w:rsidRDefault="00000000">
      <w:r>
        <w:t xml:space="preserve">I found 164 class-0 records and 139 class-1 records. Missingness is limited to </w:t>
      </w:r>
      <w:r>
        <w:rPr>
          <w:rFonts w:ascii="Consolas" w:hAnsi="Consolas"/>
          <w:color w:val="596762"/>
          <w:sz w:val="18"/>
        </w:rPr>
        <w:t>ca</w:t>
      </w:r>
      <w:r>
        <w:t xml:space="preserve"> and </w:t>
      </w:r>
      <w:r>
        <w:rPr>
          <w:rFonts w:ascii="Consolas" w:hAnsi="Consolas"/>
          <w:color w:val="596762"/>
          <w:sz w:val="18"/>
        </w:rPr>
        <w:t>thal</w:t>
      </w:r>
      <w:r>
        <w:t>; I leave those values explicit in the data and handle them in the fitted preprocessing pipeline.</w:t>
      </w:r>
    </w:p>
    <w:p w14:paraId="0078DA4F" w14:textId="77777777" w:rsidR="00B210C6" w:rsidRDefault="00000000">
      <w:pPr>
        <w:jc w:val="center"/>
      </w:pPr>
      <w:r>
        <w:rPr>
          <w:noProof/>
        </w:rPr>
        <w:drawing>
          <wp:inline distT="0" distB="0" distL="0" distR="0" wp14:anchorId="1FABF87F" wp14:editId="2368F5A2">
            <wp:extent cx="5016137" cy="29260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umeric_distribu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6137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BB8A7" w14:textId="77777777" w:rsidR="00B210C6" w:rsidRDefault="00000000">
      <w:pPr>
        <w:pStyle w:val="Caption"/>
        <w:jc w:val="center"/>
      </w:pPr>
      <w:r>
        <w:t>Numeric distributions by target</w:t>
      </w:r>
    </w:p>
    <w:p w14:paraId="54C7C219" w14:textId="77777777" w:rsidR="00B210C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CA404FF" wp14:editId="0B606682">
            <wp:extent cx="4389120" cy="29260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umeric_by_targe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E1FD0" w14:textId="77777777" w:rsidR="00B210C6" w:rsidRDefault="00000000">
      <w:pPr>
        <w:pStyle w:val="Caption"/>
        <w:jc w:val="center"/>
      </w:pPr>
      <w:r>
        <w:t>Numeric boxplots by target</w:t>
      </w:r>
    </w:p>
    <w:p w14:paraId="31C7232A" w14:textId="77777777" w:rsidR="00B210C6" w:rsidRDefault="00000000">
      <w:r>
        <w:t xml:space="preserve">The numeric distributions overlap substantially. In my analysis, the class-1 group is somewhat older, tends to have lower </w:t>
      </w:r>
      <w:r>
        <w:rPr>
          <w:rFonts w:ascii="Consolas" w:hAnsi="Consolas"/>
          <w:color w:val="596762"/>
          <w:sz w:val="18"/>
        </w:rPr>
        <w:t>thalach</w:t>
      </w:r>
      <w:r>
        <w:t xml:space="preserve">, and tends to have higher </w:t>
      </w:r>
      <w:r>
        <w:rPr>
          <w:rFonts w:ascii="Consolas" w:hAnsi="Consolas"/>
          <w:color w:val="596762"/>
          <w:sz w:val="18"/>
        </w:rPr>
        <w:t>oldpeak</w:t>
      </w:r>
      <w:r>
        <w:t>. These are descriptive associations only; they are not causal effects, clinical rules, or evidence that any feature predicts future disease.</w:t>
      </w:r>
    </w:p>
    <w:p w14:paraId="3F9CC95D" w14:textId="77777777" w:rsidR="00B210C6" w:rsidRDefault="00000000">
      <w:pPr>
        <w:jc w:val="center"/>
      </w:pPr>
      <w:r>
        <w:rPr>
          <w:noProof/>
        </w:rPr>
        <w:drawing>
          <wp:inline distT="0" distB="0" distL="0" distR="0" wp14:anchorId="0C4941BA" wp14:editId="716B2E65">
            <wp:extent cx="3458094" cy="29260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tegorical_by_targe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8094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5DD15" w14:textId="77777777" w:rsidR="00B210C6" w:rsidRDefault="00000000">
      <w:pPr>
        <w:pStyle w:val="Caption"/>
        <w:jc w:val="center"/>
      </w:pPr>
      <w:r>
        <w:t>Categorical counts by target</w:t>
      </w:r>
    </w:p>
    <w:p w14:paraId="195F68D7" w14:textId="4CEFDCA3" w:rsidR="00B210C6" w:rsidRDefault="00EE4355">
      <w:r>
        <w:t xml:space="preserve">The count plots show differing class counts across the original codes, notably </w:t>
      </w:r>
      <w:r>
        <w:rPr>
          <w:rFonts w:ascii="Consolas" w:hAnsi="Consolas"/>
          <w:color w:val="596762"/>
          <w:sz w:val="18"/>
        </w:rPr>
        <w:t>cp</w:t>
      </w:r>
      <w:r>
        <w:t xml:space="preserve">, </w:t>
      </w:r>
      <w:r>
        <w:rPr>
          <w:rFonts w:ascii="Consolas" w:hAnsi="Consolas"/>
          <w:color w:val="596762"/>
          <w:sz w:val="18"/>
        </w:rPr>
        <w:t>exang</w:t>
      </w:r>
      <w:r>
        <w:t xml:space="preserve">, ST slope, and </w:t>
      </w:r>
      <w:r>
        <w:rPr>
          <w:rFonts w:ascii="Consolas" w:hAnsi="Consolas"/>
          <w:color w:val="596762"/>
          <w:sz w:val="18"/>
        </w:rPr>
        <w:t>thal</w:t>
      </w:r>
      <w:r>
        <w:t>. They show counts, not adjusted risks: class balance and the number of observations in each code influence the apparent pattern.</w:t>
      </w:r>
    </w:p>
    <w:p w14:paraId="7C45BD78" w14:textId="77777777" w:rsidR="00B210C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7DFD0E1" wp14:editId="205D08B4">
            <wp:extent cx="4023360" cy="29260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rrelation_heat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29BBB" w14:textId="77777777" w:rsidR="00B210C6" w:rsidRDefault="00000000">
      <w:pPr>
        <w:pStyle w:val="Caption"/>
        <w:jc w:val="center"/>
      </w:pPr>
      <w:r>
        <w:t>Correlation heatmap</w:t>
      </w:r>
    </w:p>
    <w:p w14:paraId="1F9D276F" w14:textId="4DEE6F88" w:rsidR="00B210C6" w:rsidRDefault="00000000">
      <w:r>
        <w:t xml:space="preserve">I converted category codes to numbers to create the exploratory heatmap. Approximate correlations with the binary target include </w:t>
      </w:r>
      <w:r>
        <w:rPr>
          <w:rFonts w:ascii="Consolas" w:hAnsi="Consolas"/>
          <w:color w:val="596762"/>
          <w:sz w:val="18"/>
        </w:rPr>
        <w:t>thal</w:t>
      </w:r>
      <w:r>
        <w:t xml:space="preserve"> +0.53, </w:t>
      </w:r>
      <w:r>
        <w:rPr>
          <w:rFonts w:ascii="Consolas" w:hAnsi="Consolas"/>
          <w:color w:val="596762"/>
          <w:sz w:val="18"/>
        </w:rPr>
        <w:t>ca</w:t>
      </w:r>
      <w:r>
        <w:t xml:space="preserve"> +0.46, </w:t>
      </w:r>
      <w:r>
        <w:rPr>
          <w:rFonts w:ascii="Consolas" w:hAnsi="Consolas"/>
          <w:color w:val="596762"/>
          <w:sz w:val="18"/>
        </w:rPr>
        <w:t>exang</w:t>
      </w:r>
      <w:r>
        <w:t xml:space="preserve"> +0.43, </w:t>
      </w:r>
      <w:r>
        <w:rPr>
          <w:rFonts w:ascii="Consolas" w:hAnsi="Consolas"/>
          <w:color w:val="596762"/>
          <w:sz w:val="18"/>
        </w:rPr>
        <w:t>oldpeak</w:t>
      </w:r>
      <w:r>
        <w:t xml:space="preserve"> +0.42, </w:t>
      </w:r>
      <w:r>
        <w:rPr>
          <w:rFonts w:ascii="Consolas" w:hAnsi="Consolas"/>
          <w:color w:val="596762"/>
          <w:sz w:val="18"/>
        </w:rPr>
        <w:t>cp</w:t>
      </w:r>
      <w:r>
        <w:t xml:space="preserve"> +0.41, and </w:t>
      </w:r>
      <w:r>
        <w:rPr>
          <w:rFonts w:ascii="Consolas" w:hAnsi="Consolas"/>
          <w:color w:val="596762"/>
          <w:sz w:val="18"/>
        </w:rPr>
        <w:t>thalach</w:t>
      </w:r>
      <w:r>
        <w:t xml:space="preserve"> -0.42. A numeric correlation over category codes does not make the distance between category IDs meaningful, so used one-hot encoding for the categorical predictors in the model.</w:t>
      </w:r>
    </w:p>
    <w:p w14:paraId="6AFE8046" w14:textId="77777777" w:rsidR="00B210C6" w:rsidRDefault="00000000">
      <w:pPr>
        <w:pStyle w:val="Heading1"/>
      </w:pPr>
      <w:r>
        <w:t>4. Preprocessing and model selection</w:t>
      </w:r>
    </w:p>
    <w:p w14:paraId="408BEB0D" w14:textId="5B52AF97" w:rsidR="00B210C6" w:rsidRDefault="00000000">
      <w:r>
        <w:t xml:space="preserve">I divided the data into a stratified 80/20 train/holdout split with seed 42, leaving 61 records in the holdout. </w:t>
      </w:r>
      <w:r w:rsidR="00851031">
        <w:t>U</w:t>
      </w:r>
      <w:r>
        <w:t>sed median imputation and standard scaling for numeric predictors, and most-frequent imputation plus one-hot encoding for categorical predictors. These transformations are part of each scikit-learn pipeline, so they are fit within each cross-validation training fold and reused in the serialized serving pipeline.</w:t>
      </w:r>
    </w:p>
    <w:p w14:paraId="52C521AC" w14:textId="3ED558F8" w:rsidR="00B210C6" w:rsidRDefault="00D652F8">
      <w:r>
        <w:t xml:space="preserve">Used </w:t>
      </w:r>
      <w:proofErr w:type="spellStart"/>
      <w:r>
        <w:rPr>
          <w:rFonts w:ascii="Consolas" w:hAnsi="Consolas"/>
          <w:color w:val="596762"/>
          <w:sz w:val="18"/>
        </w:rPr>
        <w:t>GridSearchCV</w:t>
      </w:r>
      <w:proofErr w:type="spellEnd"/>
      <w:r>
        <w:t xml:space="preserve"> with stratified five-fold cross-validation and mean ROC-AUC to compare Logistic Regression, Random Forest, and AdaBoost with SAMME. I tuned Logistic Regression regularization and class weighting; Random Forest tree count, depth, and minimum leaf size; and AdaBoost estimator count and learning rate. </w:t>
      </w:r>
      <w:r w:rsidR="004B3BF6">
        <w:t>S</w:t>
      </w:r>
      <w:r>
        <w:t xml:space="preserve">elected the model by CV ROC-AUC before examining holdout </w:t>
      </w:r>
      <w:proofErr w:type="gramStart"/>
      <w:r>
        <w:t>metrics, and</w:t>
      </w:r>
      <w:proofErr w:type="gramEnd"/>
      <w:r>
        <w:t xml:space="preserve"> did not use the holdout for tuning or threshold adjustment.</w:t>
      </w:r>
    </w:p>
    <w:p w14:paraId="6FA9960E" w14:textId="77777777" w:rsidR="00B210C6" w:rsidRDefault="00000000">
      <w:pPr>
        <w:pStyle w:val="Heading1"/>
      </w:pPr>
      <w:r>
        <w:t>5. Results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B210C6" w14:paraId="265C6F95" w14:textId="77777777" w:rsidTr="00B210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  <w:vAlign w:val="center"/>
          </w:tcPr>
          <w:p w14:paraId="57EE775E" w14:textId="77777777" w:rsidR="00B210C6" w:rsidRDefault="00000000">
            <w:r>
              <w:rPr>
                <w:color w:val="FFFFFF"/>
                <w:sz w:val="17"/>
              </w:rPr>
              <w:t>Model</w:t>
            </w:r>
          </w:p>
        </w:tc>
        <w:tc>
          <w:tcPr>
            <w:tcW w:w="1680" w:type="dxa"/>
            <w:vAlign w:val="center"/>
          </w:tcPr>
          <w:p w14:paraId="72663AB8" w14:textId="77777777" w:rsidR="00B210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CV ROC-AUC</w:t>
            </w:r>
          </w:p>
        </w:tc>
        <w:tc>
          <w:tcPr>
            <w:tcW w:w="1680" w:type="dxa"/>
            <w:vAlign w:val="center"/>
          </w:tcPr>
          <w:p w14:paraId="56E7A26C" w14:textId="77777777" w:rsidR="00B210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Holdout accuracy</w:t>
            </w:r>
          </w:p>
        </w:tc>
        <w:tc>
          <w:tcPr>
            <w:tcW w:w="1680" w:type="dxa"/>
            <w:vAlign w:val="center"/>
          </w:tcPr>
          <w:p w14:paraId="0F4EF390" w14:textId="77777777" w:rsidR="00B210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Precision</w:t>
            </w:r>
          </w:p>
        </w:tc>
        <w:tc>
          <w:tcPr>
            <w:tcW w:w="1680" w:type="dxa"/>
            <w:vAlign w:val="center"/>
          </w:tcPr>
          <w:p w14:paraId="62E2851F" w14:textId="77777777" w:rsidR="00B210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Recall</w:t>
            </w:r>
          </w:p>
        </w:tc>
        <w:tc>
          <w:tcPr>
            <w:tcW w:w="1680" w:type="dxa"/>
            <w:vAlign w:val="center"/>
          </w:tcPr>
          <w:p w14:paraId="2719DDBD" w14:textId="77777777" w:rsidR="00B210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Holdout ROC-AUC</w:t>
            </w:r>
          </w:p>
        </w:tc>
      </w:tr>
      <w:tr w:rsidR="00B210C6" w14:paraId="1DF1F3FC" w14:textId="77777777" w:rsidTr="00B21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  <w:vAlign w:val="center"/>
          </w:tcPr>
          <w:p w14:paraId="43316B64" w14:textId="77777777" w:rsidR="00B210C6" w:rsidRDefault="00000000">
            <w:r>
              <w:rPr>
                <w:sz w:val="17"/>
              </w:rPr>
              <w:t>Logistic Regression</w:t>
            </w:r>
          </w:p>
        </w:tc>
        <w:tc>
          <w:tcPr>
            <w:tcW w:w="1680" w:type="dxa"/>
            <w:vAlign w:val="center"/>
          </w:tcPr>
          <w:p w14:paraId="59F1A103" w14:textId="77777777" w:rsidR="00B210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0.911344</w:t>
            </w:r>
          </w:p>
        </w:tc>
        <w:tc>
          <w:tcPr>
            <w:tcW w:w="1680" w:type="dxa"/>
            <w:vAlign w:val="center"/>
          </w:tcPr>
          <w:p w14:paraId="25BAC715" w14:textId="77777777" w:rsidR="00B210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0.885246</w:t>
            </w:r>
          </w:p>
        </w:tc>
        <w:tc>
          <w:tcPr>
            <w:tcW w:w="1680" w:type="dxa"/>
            <w:vAlign w:val="center"/>
          </w:tcPr>
          <w:p w14:paraId="0974460D" w14:textId="77777777" w:rsidR="00B210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0.838710</w:t>
            </w:r>
          </w:p>
        </w:tc>
        <w:tc>
          <w:tcPr>
            <w:tcW w:w="1680" w:type="dxa"/>
            <w:vAlign w:val="center"/>
          </w:tcPr>
          <w:p w14:paraId="4CB016E5" w14:textId="77777777" w:rsidR="00B210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0.928571</w:t>
            </w:r>
          </w:p>
        </w:tc>
        <w:tc>
          <w:tcPr>
            <w:tcW w:w="1680" w:type="dxa"/>
            <w:vAlign w:val="center"/>
          </w:tcPr>
          <w:p w14:paraId="1A6B358C" w14:textId="77777777" w:rsidR="00B210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0.961039</w:t>
            </w:r>
          </w:p>
        </w:tc>
      </w:tr>
      <w:tr w:rsidR="00B210C6" w14:paraId="16703AB2" w14:textId="77777777" w:rsidTr="00B210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  <w:vAlign w:val="center"/>
          </w:tcPr>
          <w:p w14:paraId="6629BFE5" w14:textId="77777777" w:rsidR="00B210C6" w:rsidRDefault="00000000">
            <w:r>
              <w:rPr>
                <w:sz w:val="17"/>
              </w:rPr>
              <w:t>Random Forest</w:t>
            </w:r>
          </w:p>
        </w:tc>
        <w:tc>
          <w:tcPr>
            <w:tcW w:w="1680" w:type="dxa"/>
            <w:vAlign w:val="center"/>
          </w:tcPr>
          <w:p w14:paraId="6AB39A9E" w14:textId="77777777" w:rsidR="00B210C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0.899917</w:t>
            </w:r>
          </w:p>
        </w:tc>
        <w:tc>
          <w:tcPr>
            <w:tcW w:w="1680" w:type="dxa"/>
            <w:vAlign w:val="center"/>
          </w:tcPr>
          <w:p w14:paraId="073F84DB" w14:textId="77777777" w:rsidR="00B210C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0.885246</w:t>
            </w:r>
          </w:p>
        </w:tc>
        <w:tc>
          <w:tcPr>
            <w:tcW w:w="1680" w:type="dxa"/>
            <w:vAlign w:val="center"/>
          </w:tcPr>
          <w:p w14:paraId="2AD876CA" w14:textId="77777777" w:rsidR="00B210C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0.838710</w:t>
            </w:r>
          </w:p>
        </w:tc>
        <w:tc>
          <w:tcPr>
            <w:tcW w:w="1680" w:type="dxa"/>
            <w:vAlign w:val="center"/>
          </w:tcPr>
          <w:p w14:paraId="4D51E3D2" w14:textId="77777777" w:rsidR="00B210C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0.928571</w:t>
            </w:r>
          </w:p>
        </w:tc>
        <w:tc>
          <w:tcPr>
            <w:tcW w:w="1680" w:type="dxa"/>
            <w:vAlign w:val="center"/>
          </w:tcPr>
          <w:p w14:paraId="599DD138" w14:textId="77777777" w:rsidR="00B210C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0.950216</w:t>
            </w:r>
          </w:p>
        </w:tc>
      </w:tr>
      <w:tr w:rsidR="00B210C6" w14:paraId="1EA40C59" w14:textId="77777777" w:rsidTr="00B21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  <w:vAlign w:val="center"/>
          </w:tcPr>
          <w:p w14:paraId="6A8880F9" w14:textId="77777777" w:rsidR="00B210C6" w:rsidRDefault="00000000">
            <w:r>
              <w:rPr>
                <w:sz w:val="17"/>
              </w:rPr>
              <w:t>AdaBoost (SAMME)</w:t>
            </w:r>
          </w:p>
        </w:tc>
        <w:tc>
          <w:tcPr>
            <w:tcW w:w="1680" w:type="dxa"/>
            <w:vAlign w:val="center"/>
          </w:tcPr>
          <w:p w14:paraId="11C8C726" w14:textId="77777777" w:rsidR="00B210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0.894218</w:t>
            </w:r>
          </w:p>
        </w:tc>
        <w:tc>
          <w:tcPr>
            <w:tcW w:w="1680" w:type="dxa"/>
            <w:vAlign w:val="center"/>
          </w:tcPr>
          <w:p w14:paraId="5E8CA57D" w14:textId="77777777" w:rsidR="00B210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0.868852</w:t>
            </w:r>
          </w:p>
        </w:tc>
        <w:tc>
          <w:tcPr>
            <w:tcW w:w="1680" w:type="dxa"/>
            <w:vAlign w:val="center"/>
          </w:tcPr>
          <w:p w14:paraId="54B59E73" w14:textId="77777777" w:rsidR="00B210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0.857143</w:t>
            </w:r>
          </w:p>
        </w:tc>
        <w:tc>
          <w:tcPr>
            <w:tcW w:w="1680" w:type="dxa"/>
            <w:vAlign w:val="center"/>
          </w:tcPr>
          <w:p w14:paraId="568C8D26" w14:textId="77777777" w:rsidR="00B210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0.857143</w:t>
            </w:r>
          </w:p>
        </w:tc>
        <w:tc>
          <w:tcPr>
            <w:tcW w:w="1680" w:type="dxa"/>
            <w:vAlign w:val="center"/>
          </w:tcPr>
          <w:p w14:paraId="690FCFCE" w14:textId="77777777" w:rsidR="00B210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0.944805</w:t>
            </w:r>
          </w:p>
        </w:tc>
      </w:tr>
    </w:tbl>
    <w:p w14:paraId="167A6523" w14:textId="77777777" w:rsidR="00B210C6" w:rsidRDefault="00B210C6">
      <w:pPr>
        <w:spacing w:after="20"/>
      </w:pPr>
    </w:p>
    <w:p w14:paraId="7086A908" w14:textId="75BEDE6F" w:rsidR="00B210C6" w:rsidRDefault="00000000">
      <w:r>
        <w:t xml:space="preserve">I </w:t>
      </w:r>
      <w:r w:rsidR="00FF308E">
        <w:t>get</w:t>
      </w:r>
      <w:r>
        <w:t xml:space="preserve"> these results from </w:t>
      </w:r>
      <w:proofErr w:type="spellStart"/>
      <w:r>
        <w:t>MLflow</w:t>
      </w:r>
      <w:proofErr w:type="spellEnd"/>
      <w:r>
        <w:t xml:space="preserve"> screenshots rather than mixing them with an older local artifact. That older artifact reports slightly different Random Forest values (CV ROC-AUC 0.9003 and holdout ROC-AUC 0.9524). Logistic Regression leads CV ROC-AUC by about 0.011 over Random Forest and 0.017 over AdaBoost. Logistic Regression </w:t>
      </w:r>
      <w:r>
        <w:lastRenderedPageBreak/>
        <w:t>and Random Forest have the same thresholded holdout metrics in this run, although their ROC-AUC differs. With only 61 holdout cases, a few observations can change the percentages.</w:t>
      </w:r>
    </w:p>
    <w:p w14:paraId="790F9662" w14:textId="77777777" w:rsidR="00B210C6" w:rsidRDefault="00000000">
      <w:pPr>
        <w:jc w:val="center"/>
      </w:pPr>
      <w:r>
        <w:rPr>
          <w:noProof/>
        </w:rPr>
        <w:drawing>
          <wp:inline distT="0" distB="0" distL="0" distR="0" wp14:anchorId="2C23A760" wp14:editId="6ED8DA60">
            <wp:extent cx="3511296" cy="29260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usion_matrix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11296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91ED1" w14:textId="77777777" w:rsidR="00B210C6" w:rsidRDefault="00000000">
      <w:pPr>
        <w:pStyle w:val="Caption"/>
        <w:jc w:val="center"/>
      </w:pPr>
      <w:r>
        <w:t>Random Forest confusion matrix</w:t>
      </w:r>
    </w:p>
    <w:p w14:paraId="06F02374" w14:textId="43FA217F" w:rsidR="00B210C6" w:rsidRDefault="00000000">
      <w:r>
        <w:t>My saved Random Forest confusion matrix shows TN=28, FP=5, FN=2, and TP=26. I include it as an illustrative diagnostic from the local artifact; the results table remains sourced from screenshots.</w:t>
      </w:r>
    </w:p>
    <w:p w14:paraId="458CBF5B" w14:textId="77777777" w:rsidR="00B210C6" w:rsidRDefault="00000000">
      <w:pPr>
        <w:pStyle w:val="Heading1"/>
      </w:pPr>
      <w:r>
        <w:t>6. MLflow tracking and artifacts</w:t>
      </w:r>
    </w:p>
    <w:p w14:paraId="4395D1F6" w14:textId="5E89033F" w:rsidR="00B210C6" w:rsidRDefault="00000000">
      <w:r>
        <w:t xml:space="preserve">I tracked the experiments under </w:t>
      </w:r>
      <w:r>
        <w:rPr>
          <w:rFonts w:ascii="Consolas" w:hAnsi="Consolas"/>
          <w:color w:val="596762"/>
          <w:sz w:val="18"/>
        </w:rPr>
        <w:t>uci-heart-disease</w:t>
      </w:r>
      <w:r>
        <w:t>. The three runs shown below finished successfully, and each logs the candidate, selected parameters, CV score, model, signature, and input example. I also saved holdout metrics and plots, tuning information, model comparison output, and fitted pipeline diagrams. Logistic Regression was my selected model.</w:t>
      </w:r>
    </w:p>
    <w:p w14:paraId="65A4A447" w14:textId="77777777" w:rsidR="00B210C6" w:rsidRDefault="00000000">
      <w:pPr>
        <w:jc w:val="center"/>
      </w:pPr>
      <w:r>
        <w:rPr>
          <w:noProof/>
        </w:rPr>
        <w:drawing>
          <wp:inline distT="0" distB="0" distL="0" distR="0" wp14:anchorId="103E802D" wp14:editId="48C7F605">
            <wp:extent cx="4681728" cy="29260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_mlflow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1728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F36CB" w14:textId="77777777" w:rsidR="00B210C6" w:rsidRDefault="00000000">
      <w:pPr>
        <w:pStyle w:val="Caption"/>
        <w:jc w:val="center"/>
      </w:pPr>
      <w:r>
        <w:t>MLflow run list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</w:tblGrid>
      <w:tr w:rsidR="005708FE" w14:paraId="38CB28FA" w14:textId="77777777" w:rsidTr="00B210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2C260561" w14:textId="77777777" w:rsidR="005708FE" w:rsidRDefault="005708FE">
            <w:r>
              <w:rPr>
                <w:color w:val="FFFFFF"/>
                <w:sz w:val="17"/>
              </w:rPr>
              <w:lastRenderedPageBreak/>
              <w:t>Model</w:t>
            </w:r>
          </w:p>
        </w:tc>
        <w:tc>
          <w:tcPr>
            <w:tcW w:w="3360" w:type="dxa"/>
            <w:vAlign w:val="center"/>
          </w:tcPr>
          <w:p w14:paraId="79908855" w14:textId="77777777" w:rsidR="005708FE" w:rsidRDefault="005708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CV ROC-AUC</w:t>
            </w:r>
          </w:p>
        </w:tc>
      </w:tr>
      <w:tr w:rsidR="005708FE" w14:paraId="3B31173C" w14:textId="77777777" w:rsidTr="00B21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64EFE1A6" w14:textId="77777777" w:rsidR="005708FE" w:rsidRDefault="005708FE">
            <w:r>
              <w:rPr>
                <w:sz w:val="17"/>
              </w:rPr>
              <w:t>Logistic Regression (selected)</w:t>
            </w:r>
          </w:p>
        </w:tc>
        <w:tc>
          <w:tcPr>
            <w:tcW w:w="3360" w:type="dxa"/>
            <w:vAlign w:val="center"/>
          </w:tcPr>
          <w:p w14:paraId="4D331172" w14:textId="77777777" w:rsidR="005708FE" w:rsidRDefault="005708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0.911344</w:t>
            </w:r>
          </w:p>
        </w:tc>
      </w:tr>
      <w:tr w:rsidR="005708FE" w14:paraId="3A52290B" w14:textId="77777777" w:rsidTr="00B210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655523F3" w14:textId="77777777" w:rsidR="005708FE" w:rsidRDefault="005708FE">
            <w:r>
              <w:rPr>
                <w:sz w:val="17"/>
              </w:rPr>
              <w:t>Random Forest</w:t>
            </w:r>
          </w:p>
        </w:tc>
        <w:tc>
          <w:tcPr>
            <w:tcW w:w="3360" w:type="dxa"/>
            <w:vAlign w:val="center"/>
          </w:tcPr>
          <w:p w14:paraId="54CF9349" w14:textId="77777777" w:rsidR="005708FE" w:rsidRDefault="005708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0.899917</w:t>
            </w:r>
          </w:p>
        </w:tc>
      </w:tr>
      <w:tr w:rsidR="005708FE" w14:paraId="690D3CD9" w14:textId="77777777" w:rsidTr="00B21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7CFD5672" w14:textId="77777777" w:rsidR="005708FE" w:rsidRDefault="005708FE">
            <w:r>
              <w:rPr>
                <w:sz w:val="17"/>
              </w:rPr>
              <w:t>AdaBoost / SAMME</w:t>
            </w:r>
          </w:p>
        </w:tc>
        <w:tc>
          <w:tcPr>
            <w:tcW w:w="3360" w:type="dxa"/>
            <w:vAlign w:val="center"/>
          </w:tcPr>
          <w:p w14:paraId="41154BE4" w14:textId="77777777" w:rsidR="005708FE" w:rsidRDefault="005708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0.894218</w:t>
            </w:r>
          </w:p>
        </w:tc>
      </w:tr>
    </w:tbl>
    <w:p w14:paraId="3BE43490" w14:textId="77777777" w:rsidR="00B210C6" w:rsidRDefault="00B210C6">
      <w:pPr>
        <w:spacing w:after="20"/>
      </w:pPr>
    </w:p>
    <w:p w14:paraId="3CC14916" w14:textId="77777777" w:rsidR="00B210C6" w:rsidRDefault="00000000">
      <w:pPr>
        <w:jc w:val="center"/>
      </w:pPr>
      <w:r>
        <w:rPr>
          <w:noProof/>
        </w:rPr>
        <w:drawing>
          <wp:inline distT="0" distB="0" distL="0" distR="0" wp14:anchorId="3A35F615" wp14:editId="432E5C6B">
            <wp:extent cx="4681728" cy="29260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_mlflow_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1728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DA37D" w14:textId="77777777" w:rsidR="00B210C6" w:rsidRDefault="00000000">
      <w:pPr>
        <w:pStyle w:val="Caption"/>
        <w:jc w:val="center"/>
      </w:pPr>
      <w:r>
        <w:t>AdaBoost MLflow run details</w:t>
      </w:r>
    </w:p>
    <w:p w14:paraId="3215CBBA" w14:textId="77777777" w:rsidR="00B210C6" w:rsidRDefault="00000000">
      <w:r>
        <w:t>This run detail shows the logged SAMME parameters and holdout metrics for one completed candidate. I use the run list and metric table above to compare all three models.</w:t>
      </w:r>
    </w:p>
    <w:p w14:paraId="093565D5" w14:textId="15032F97" w:rsidR="00B210C6" w:rsidRDefault="00000000">
      <w:r>
        <w:t xml:space="preserve">I saved the selected fitted pipeline as </w:t>
      </w:r>
      <w:r>
        <w:rPr>
          <w:rFonts w:ascii="Consolas" w:hAnsi="Consolas"/>
          <w:color w:val="596762"/>
          <w:sz w:val="18"/>
        </w:rPr>
        <w:t>models/heart_disease_pipeline.joblib</w:t>
      </w:r>
      <w:r>
        <w:t>, bundling preprocessing and the classifier. API accepts raw named feature values and applies the same transformations used during training.</w:t>
      </w:r>
    </w:p>
    <w:p w14:paraId="609045E3" w14:textId="77777777" w:rsidR="00B210C6" w:rsidRDefault="00000000">
      <w:pPr>
        <w:pStyle w:val="Heading1"/>
      </w:pPr>
      <w:r>
        <w:t>7. API and container</w:t>
      </w:r>
    </w:p>
    <w:p w14:paraId="19D6076F" w14:textId="77777777" w:rsidR="00B210C6" w:rsidRDefault="00000000">
      <w:r>
        <w:t xml:space="preserve">I implemented a FastAPI service with </w:t>
      </w:r>
      <w:r>
        <w:rPr>
          <w:rFonts w:ascii="Consolas" w:hAnsi="Consolas"/>
          <w:color w:val="596762"/>
          <w:sz w:val="18"/>
        </w:rPr>
        <w:t>GET /health</w:t>
      </w:r>
      <w:r>
        <w:t xml:space="preserve">, </w:t>
      </w:r>
      <w:r>
        <w:rPr>
          <w:rFonts w:ascii="Consolas" w:hAnsi="Consolas"/>
          <w:color w:val="596762"/>
          <w:sz w:val="18"/>
        </w:rPr>
        <w:t>POST /predict</w:t>
      </w:r>
      <w:r>
        <w:t xml:space="preserve">, and Prometheus-format </w:t>
      </w:r>
      <w:r>
        <w:rPr>
          <w:rFonts w:ascii="Consolas" w:hAnsi="Consolas"/>
          <w:color w:val="596762"/>
          <w:sz w:val="18"/>
        </w:rPr>
        <w:t>GET /metrics</w:t>
      </w:r>
      <w:r>
        <w:t xml:space="preserve">. Its prediction response contains the binary dataset-label prediction and class probabilities. The service validates requests, assigns an </w:t>
      </w:r>
      <w:r>
        <w:rPr>
          <w:rFonts w:ascii="Consolas" w:hAnsi="Consolas"/>
          <w:color w:val="596762"/>
          <w:sz w:val="18"/>
        </w:rPr>
        <w:t>X-Request-ID</w:t>
      </w:r>
      <w:r>
        <w:t>, and logs method, path, status, and duration without logging patient feature values.</w:t>
      </w:r>
    </w:p>
    <w:p w14:paraId="42E7EB5D" w14:textId="77777777" w:rsidR="00B210C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49C5813" wp14:editId="5CEBBD9F">
            <wp:extent cx="4681728" cy="29260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_kube_api_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1728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D37E9" w14:textId="77777777" w:rsidR="00B210C6" w:rsidRDefault="00000000">
      <w:pPr>
        <w:pStyle w:val="Caption"/>
        <w:jc w:val="center"/>
      </w:pPr>
      <w:r>
        <w:t>Successful Kubernetes API prediction</w:t>
      </w:r>
    </w:p>
    <w:p w14:paraId="0596B96B" w14:textId="77777777" w:rsidR="00B210C6" w:rsidRDefault="00000000">
      <w:r>
        <w:t xml:space="preserve">My captured request through the local Kubernetes port-forward returned HTTP 200 and probabilities 0.3106/0.6894. The address </w:t>
      </w:r>
      <w:r>
        <w:rPr>
          <w:rFonts w:ascii="Consolas" w:hAnsi="Consolas"/>
          <w:color w:val="596762"/>
          <w:sz w:val="18"/>
        </w:rPr>
        <w:t>127.0.0.1:8004</w:t>
      </w:r>
      <w:r>
        <w:t xml:space="preserve"> is local access, not a public endpoint.</w:t>
      </w:r>
    </w:p>
    <w:p w14:paraId="0253F433" w14:textId="77777777" w:rsidR="00B210C6" w:rsidRDefault="00000000">
      <w:pPr>
        <w:jc w:val="center"/>
      </w:pPr>
      <w:r>
        <w:rPr>
          <w:noProof/>
        </w:rPr>
        <w:drawing>
          <wp:inline distT="0" distB="0" distL="0" distR="0" wp14:anchorId="5AD66C1B" wp14:editId="6EFE1E80">
            <wp:extent cx="4681728" cy="29260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_api_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1728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BF016" w14:textId="77777777" w:rsidR="00B210C6" w:rsidRDefault="00000000">
      <w:pPr>
        <w:pStyle w:val="Caption"/>
        <w:jc w:val="center"/>
      </w:pPr>
      <w:r>
        <w:t>Successful local API prediction response</w:t>
      </w:r>
    </w:p>
    <w:p w14:paraId="4FC6789A" w14:textId="77777777" w:rsidR="00B210C6" w:rsidRDefault="00000000">
      <w:r>
        <w:t>This separate local API test also returned HTTP 200 and a prediction response. Its input and probability differ from the Kubernetes example above because it is a separate request.</w:t>
      </w:r>
    </w:p>
    <w:p w14:paraId="0C0D790D" w14:textId="77777777" w:rsidR="00B210C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5E4F469" wp14:editId="5B8126CD">
            <wp:extent cx="4681728" cy="29260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_api_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1728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997AC" w14:textId="77777777" w:rsidR="00B210C6" w:rsidRDefault="00000000">
      <w:pPr>
        <w:pStyle w:val="Caption"/>
        <w:jc w:val="center"/>
      </w:pPr>
      <w:r>
        <w:t>Local API health check</w:t>
      </w:r>
    </w:p>
    <w:p w14:paraId="4B6CAB47" w14:textId="77777777" w:rsidR="00B210C6" w:rsidRDefault="00000000">
      <w:r>
        <w:t xml:space="preserve">The health endpoint returned HTTP 200 with status </w:t>
      </w:r>
      <w:r>
        <w:rPr>
          <w:rFonts w:ascii="Consolas" w:hAnsi="Consolas"/>
          <w:color w:val="596762"/>
          <w:sz w:val="18"/>
        </w:rPr>
        <w:t>ok</w:t>
      </w:r>
      <w:r>
        <w:t xml:space="preserve"> during the local API check.</w:t>
      </w:r>
    </w:p>
    <w:p w14:paraId="22F39E22" w14:textId="77777777" w:rsidR="00B210C6" w:rsidRDefault="00000000">
      <w:pPr>
        <w:jc w:val="center"/>
      </w:pPr>
      <w:r>
        <w:rPr>
          <w:noProof/>
        </w:rPr>
        <w:drawing>
          <wp:inline distT="0" distB="0" distL="0" distR="0" wp14:anchorId="04BA6B55" wp14:editId="7EB43BB8">
            <wp:extent cx="4681728" cy="292608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_docker_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1728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641EF" w14:textId="77777777" w:rsidR="00B210C6" w:rsidRDefault="00000000">
      <w:pPr>
        <w:pStyle w:val="Caption"/>
        <w:jc w:val="center"/>
      </w:pPr>
      <w:r>
        <w:t>Docker build and startup evidence</w:t>
      </w:r>
    </w:p>
    <w:p w14:paraId="461C67E2" w14:textId="2B8CFADD" w:rsidR="00B210C6" w:rsidRDefault="00000000">
      <w:r>
        <w:t xml:space="preserve">I packaged the trained pipeline in a Docker image that runs the service as a non-root user and defines a health check. </w:t>
      </w:r>
      <w:r w:rsidR="00EE7C2C">
        <w:t>S</w:t>
      </w:r>
      <w:r>
        <w:t>creenshots show the image build and container activity. GitHub Actions builds a separate CI image and probes its health, metrics, and prediction endpoints.</w:t>
      </w:r>
    </w:p>
    <w:p w14:paraId="4ACA1EE5" w14:textId="77777777" w:rsidR="00B210C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364099D" wp14:editId="0FD1AAF9">
            <wp:extent cx="4681728" cy="292608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_docker_compos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1728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01035" w14:textId="77777777" w:rsidR="00B210C6" w:rsidRDefault="00000000">
      <w:pPr>
        <w:pStyle w:val="Caption"/>
        <w:jc w:val="center"/>
      </w:pPr>
      <w:r>
        <w:t>Docker Compose services</w:t>
      </w:r>
    </w:p>
    <w:p w14:paraId="4E4A9300" w14:textId="77777777" w:rsidR="00B210C6" w:rsidRDefault="00000000">
      <w:r>
        <w:t>This terminal capture shows the API, Prometheus, and Grafana containers running together under Docker Compose, with the API container reporting healthy status.</w:t>
      </w:r>
    </w:p>
    <w:p w14:paraId="1DF6475C" w14:textId="77777777" w:rsidR="00B210C6" w:rsidRDefault="00000000">
      <w:pPr>
        <w:pStyle w:val="Heading1"/>
      </w:pPr>
      <w:r>
        <w:t>8. Kubernetes and monitoring</w:t>
      </w:r>
    </w:p>
    <w:p w14:paraId="0C1C5E88" w14:textId="77777777" w:rsidR="00B210C6" w:rsidRDefault="00000000">
      <w:r>
        <w:t xml:space="preserve">I deployed the API locally to Kubernetes with two replicas, alongside Prometheus and Grafana. The API </w:t>
      </w:r>
      <w:r>
        <w:rPr>
          <w:rFonts w:ascii="Consolas" w:hAnsi="Consolas"/>
          <w:color w:val="596762"/>
          <w:sz w:val="18"/>
        </w:rPr>
        <w:t>LoadBalancer</w:t>
      </w:r>
      <w:r>
        <w:t xml:space="preserve"> external address is pending, so I verified access through local port-forwarding. Prometheus reports the API scrape target as UP.</w:t>
      </w:r>
    </w:p>
    <w:p w14:paraId="37632D2C" w14:textId="77777777" w:rsidR="00B210C6" w:rsidRDefault="00000000">
      <w:pPr>
        <w:jc w:val="center"/>
      </w:pPr>
      <w:r>
        <w:rPr>
          <w:noProof/>
        </w:rPr>
        <w:drawing>
          <wp:inline distT="0" distB="0" distL="0" distR="0" wp14:anchorId="7998CB40" wp14:editId="75BA4A50">
            <wp:extent cx="4681728" cy="292608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_kube_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81728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8B970" w14:textId="77777777" w:rsidR="00B210C6" w:rsidRDefault="00000000">
      <w:pPr>
        <w:pStyle w:val="Caption"/>
        <w:jc w:val="center"/>
      </w:pPr>
      <w:r>
        <w:t>Kubernetes resources</w:t>
      </w:r>
    </w:p>
    <w:p w14:paraId="197EF055" w14:textId="77777777" w:rsidR="00B210C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6C1C6D8" wp14:editId="52F5EF9C">
            <wp:extent cx="4681728" cy="292608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_kube_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81728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69CE9" w14:textId="77777777" w:rsidR="00B210C6" w:rsidRDefault="00000000">
      <w:pPr>
        <w:pStyle w:val="Caption"/>
        <w:jc w:val="center"/>
      </w:pPr>
      <w:r>
        <w:t>Kubernetes rollout and service status</w:t>
      </w:r>
    </w:p>
    <w:p w14:paraId="054E5AAF" w14:textId="77777777" w:rsidR="00B210C6" w:rsidRDefault="00000000">
      <w:r>
        <w:t xml:space="preserve">The rollout output shows both API replicas and the monitoring deployments ready. The API service is a </w:t>
      </w:r>
      <w:r>
        <w:rPr>
          <w:rFonts w:ascii="Consolas" w:hAnsi="Consolas"/>
          <w:color w:val="596762"/>
          <w:sz w:val="18"/>
        </w:rPr>
        <w:t>LoadBalancer</w:t>
      </w:r>
      <w:r>
        <w:t>, but its external address is pending in this local Minikube environment.</w:t>
      </w:r>
    </w:p>
    <w:p w14:paraId="29F99C5B" w14:textId="77777777" w:rsidR="00B210C6" w:rsidRDefault="00000000">
      <w:pPr>
        <w:jc w:val="center"/>
      </w:pPr>
      <w:r>
        <w:rPr>
          <w:noProof/>
        </w:rPr>
        <w:drawing>
          <wp:inline distT="0" distB="0" distL="0" distR="0" wp14:anchorId="3FF614C7" wp14:editId="5E87FFB7">
            <wp:extent cx="4681728" cy="292608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_kube_prom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81728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00C0C" w14:textId="77777777" w:rsidR="00B210C6" w:rsidRDefault="00000000">
      <w:pPr>
        <w:pStyle w:val="Caption"/>
        <w:jc w:val="center"/>
      </w:pPr>
      <w:r>
        <w:t>Prometheus scrape target</w:t>
      </w:r>
    </w:p>
    <w:p w14:paraId="7F0B2303" w14:textId="77777777" w:rsidR="00B210C6" w:rsidRDefault="00000000">
      <w:r>
        <w:t xml:space="preserve">Prometheus lists the </w:t>
      </w:r>
      <w:r>
        <w:rPr>
          <w:rFonts w:ascii="Consolas" w:hAnsi="Consolas"/>
          <w:color w:val="596762"/>
          <w:sz w:val="18"/>
        </w:rPr>
        <w:t>heart-disease-api</w:t>
      </w:r>
      <w:r>
        <w:t xml:space="preserve"> target as UP, confirming the service metrics endpoint is reachable by the scraper.</w:t>
      </w:r>
    </w:p>
    <w:p w14:paraId="694B378D" w14:textId="77777777" w:rsidR="00B210C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269FF20" wp14:editId="576D3AD3">
            <wp:extent cx="4681728" cy="292608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_kube_grafana_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81728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35545" w14:textId="4C3CCF6D" w:rsidR="00092D8A" w:rsidRDefault="00092D8A">
      <w:pPr>
        <w:jc w:val="center"/>
      </w:pPr>
      <w:r>
        <w:rPr>
          <w:noProof/>
        </w:rPr>
        <w:drawing>
          <wp:inline distT="0" distB="0" distL="0" distR="0" wp14:anchorId="53EE5985" wp14:editId="14B2476C">
            <wp:extent cx="4700470" cy="2937794"/>
            <wp:effectExtent l="0" t="0" r="0" b="0"/>
            <wp:docPr id="12042921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292106" name="Picture 120429210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86928" cy="299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F1A08" w14:textId="77777777" w:rsidR="00B210C6" w:rsidRDefault="00000000">
      <w:pPr>
        <w:pStyle w:val="Caption"/>
        <w:jc w:val="center"/>
      </w:pPr>
      <w:r>
        <w:t>Kubernetes Grafana dashboard</w:t>
      </w:r>
    </w:p>
    <w:p w14:paraId="43B65768" w14:textId="77777777" w:rsidR="00B210C6" w:rsidRDefault="00000000">
      <w:r>
        <w:t>My captured dashboard reports 81 API requests, zero HTTP 5xx errors, and target health 1 (UP). Its successful-predictions panel displays “No data.” Although a separate Kubernetes prediction request succeeded, I cannot confirm from this screenshot that Prometheus scraped the prediction counter. Before submission, I should generate a prediction, wait at least one scrape interval, and capture an updated dashboard before claiming that metric is verified.</w:t>
      </w:r>
    </w:p>
    <w:p w14:paraId="7D5825AB" w14:textId="39AA1A64" w:rsidR="0092621B" w:rsidRDefault="00000000" w:rsidP="0092621B">
      <w:pPr>
        <w:jc w:val="center"/>
      </w:pPr>
      <w:r>
        <w:rPr>
          <w:noProof/>
        </w:rPr>
        <w:lastRenderedPageBreak/>
        <w:drawing>
          <wp:inline distT="0" distB="0" distL="0" distR="0" wp14:anchorId="1476A671" wp14:editId="26DC0535">
            <wp:extent cx="4681728" cy="292608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_pro_grafana_dashboar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81728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AEB3D" w14:textId="77777777" w:rsidR="00B210C6" w:rsidRDefault="00000000">
      <w:pPr>
        <w:pStyle w:val="Caption"/>
        <w:jc w:val="center"/>
      </w:pPr>
      <w:r>
        <w:t>Docker Compose Grafana dashboard</w:t>
      </w:r>
    </w:p>
    <w:p w14:paraId="63AF72E0" w14:textId="77777777" w:rsidR="00B210C6" w:rsidRDefault="00000000">
      <w:r>
        <w:t>This additional dashboard capture shows request-rate and p95-latency panels from my Docker Compose monitoring run. Its successful-predictions panel also shows “No data,” so I have not treated that counter as verified in either environment.</w:t>
      </w:r>
    </w:p>
    <w:p w14:paraId="5CD6F4E8" w14:textId="3C66037B" w:rsidR="00B210C6" w:rsidRDefault="00000000">
      <w:pPr>
        <w:pStyle w:val="Heading1"/>
      </w:pPr>
      <w:r>
        <w:t xml:space="preserve">9. </w:t>
      </w:r>
      <w:r w:rsidR="00AA779A">
        <w:t>L</w:t>
      </w:r>
      <w:r>
        <w:t>imitations</w:t>
      </w:r>
    </w:p>
    <w:p w14:paraId="334D87CF" w14:textId="77777777" w:rsidR="00B210C6" w:rsidRDefault="00000000">
      <w:r>
        <w:t>I recognize that the dataset is small, historical, and region-specific, and that its target is a contemporaneous diagnosis label rather than a forecast. I have not performed external or prospective validation, a calibration study, a fairness evaluation, or clinical approval. Accuracy, precision, recall, and ROC-AUC do not establish safety or clinical utility. Medical use would require representative data, external and prospective validation, privacy safeguards, governance, and clinical oversight.</w:t>
      </w:r>
    </w:p>
    <w:p w14:paraId="182E4A5A" w14:textId="6173F470" w:rsidR="00B210C6" w:rsidRDefault="00B210C6"/>
    <w:sectPr w:rsidR="00B210C6" w:rsidSect="00034616">
      <w:footerReference w:type="even" r:id="rId29"/>
      <w:footerReference w:type="default" r:id="rId30"/>
      <w:footerReference w:type="first" r:id="rId31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C8C64" w14:textId="77777777" w:rsidR="00853D11" w:rsidRDefault="00853D11" w:rsidP="009C2A1B">
      <w:pPr>
        <w:spacing w:after="0" w:line="240" w:lineRule="auto"/>
      </w:pPr>
      <w:r>
        <w:separator/>
      </w:r>
    </w:p>
  </w:endnote>
  <w:endnote w:type="continuationSeparator" w:id="0">
    <w:p w14:paraId="04D17932" w14:textId="77777777" w:rsidR="00853D11" w:rsidRDefault="00853D11" w:rsidP="009C2A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404B7" w14:textId="182EC712" w:rsidR="009C2A1B" w:rsidRDefault="009C2A1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597B00A" wp14:editId="7A4CC172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33375"/>
              <wp:effectExtent l="0" t="0" r="0" b="0"/>
              <wp:wrapNone/>
              <wp:docPr id="483152676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DABE0A" w14:textId="35B97F2B" w:rsidR="009C2A1B" w:rsidRPr="009C2A1B" w:rsidRDefault="009C2A1B" w:rsidP="009C2A1B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C2A1B">
                            <w:rPr>
                              <w:rFonts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97B00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33pt;margin-top:0;width:84.2pt;height:26.2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" filled="f" stroked="f">
              <v:textbox style="mso-fit-shape-to-text:t" inset="0,0,20pt,15pt">
                <w:txbxContent>
                  <w:p w14:paraId="6FDABE0A" w14:textId="35B97F2B" w:rsidR="009C2A1B" w:rsidRPr="009C2A1B" w:rsidRDefault="009C2A1B" w:rsidP="009C2A1B">
                    <w:pPr>
                      <w:spacing w:after="0"/>
                      <w:rPr>
                        <w:rFonts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9C2A1B">
                      <w:rPr>
                        <w:rFonts w:eastAsia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E08A0" w14:textId="1B0213CF" w:rsidR="009C2A1B" w:rsidRDefault="009C2A1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9BE9C14" wp14:editId="7F9D649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33375"/>
              <wp:effectExtent l="0" t="0" r="0" b="0"/>
              <wp:wrapNone/>
              <wp:docPr id="690091999" name="Text Box 3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ED783E" w14:textId="3D2AE43A" w:rsidR="009C2A1B" w:rsidRPr="009C2A1B" w:rsidRDefault="009C2A1B" w:rsidP="009C2A1B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C2A1B">
                            <w:rPr>
                              <w:rFonts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BE9C1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isco Confidential" style="position:absolute;margin-left:33pt;margin-top:0;width:84.2pt;height:26.2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" filled="f" stroked="f">
              <v:textbox style="mso-fit-shape-to-text:t" inset="0,0,20pt,15pt">
                <w:txbxContent>
                  <w:p w14:paraId="7CED783E" w14:textId="3D2AE43A" w:rsidR="009C2A1B" w:rsidRPr="009C2A1B" w:rsidRDefault="009C2A1B" w:rsidP="009C2A1B">
                    <w:pPr>
                      <w:spacing w:after="0"/>
                      <w:rPr>
                        <w:rFonts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9C2A1B">
                      <w:rPr>
                        <w:rFonts w:eastAsia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C7437" w14:textId="6107CC87" w:rsidR="009C2A1B" w:rsidRDefault="009C2A1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33E3156" wp14:editId="117D24BF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33375"/>
              <wp:effectExtent l="0" t="0" r="0" b="0"/>
              <wp:wrapNone/>
              <wp:docPr id="1856991352" name="Text Box 1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A4B83A" w14:textId="343C7BB6" w:rsidR="009C2A1B" w:rsidRPr="009C2A1B" w:rsidRDefault="009C2A1B" w:rsidP="009C2A1B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C2A1B">
                            <w:rPr>
                              <w:rFonts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3E315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isco Confidential" style="position:absolute;margin-left:33pt;margin-top:0;width:84.2pt;height:26.2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" filled="f" stroked="f">
              <v:textbox style="mso-fit-shape-to-text:t" inset="0,0,20pt,15pt">
                <w:txbxContent>
                  <w:p w14:paraId="72A4B83A" w14:textId="343C7BB6" w:rsidR="009C2A1B" w:rsidRPr="009C2A1B" w:rsidRDefault="009C2A1B" w:rsidP="009C2A1B">
                    <w:pPr>
                      <w:spacing w:after="0"/>
                      <w:rPr>
                        <w:rFonts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9C2A1B">
                      <w:rPr>
                        <w:rFonts w:eastAsia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D6BBA" w14:textId="77777777" w:rsidR="00853D11" w:rsidRDefault="00853D11" w:rsidP="009C2A1B">
      <w:pPr>
        <w:spacing w:after="0" w:line="240" w:lineRule="auto"/>
      </w:pPr>
      <w:r>
        <w:separator/>
      </w:r>
    </w:p>
  </w:footnote>
  <w:footnote w:type="continuationSeparator" w:id="0">
    <w:p w14:paraId="439D457D" w14:textId="77777777" w:rsidR="00853D11" w:rsidRDefault="00853D11" w:rsidP="009C2A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7815930">
    <w:abstractNumId w:val="8"/>
  </w:num>
  <w:num w:numId="2" w16cid:durableId="968365880">
    <w:abstractNumId w:val="6"/>
  </w:num>
  <w:num w:numId="3" w16cid:durableId="1669477161">
    <w:abstractNumId w:val="5"/>
  </w:num>
  <w:num w:numId="4" w16cid:durableId="731462058">
    <w:abstractNumId w:val="4"/>
  </w:num>
  <w:num w:numId="5" w16cid:durableId="128668751">
    <w:abstractNumId w:val="7"/>
  </w:num>
  <w:num w:numId="6" w16cid:durableId="2018926006">
    <w:abstractNumId w:val="3"/>
  </w:num>
  <w:num w:numId="7" w16cid:durableId="991517658">
    <w:abstractNumId w:val="2"/>
  </w:num>
  <w:num w:numId="8" w16cid:durableId="2093499952">
    <w:abstractNumId w:val="1"/>
  </w:num>
  <w:num w:numId="9" w16cid:durableId="1463502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2D8A"/>
    <w:rsid w:val="000B3921"/>
    <w:rsid w:val="0015074B"/>
    <w:rsid w:val="00214382"/>
    <w:rsid w:val="0029639D"/>
    <w:rsid w:val="00326F90"/>
    <w:rsid w:val="00454C06"/>
    <w:rsid w:val="00456FA2"/>
    <w:rsid w:val="004B3BF6"/>
    <w:rsid w:val="004B4A5A"/>
    <w:rsid w:val="005708FE"/>
    <w:rsid w:val="00575AD5"/>
    <w:rsid w:val="007267CE"/>
    <w:rsid w:val="00837F9E"/>
    <w:rsid w:val="00851031"/>
    <w:rsid w:val="00853D11"/>
    <w:rsid w:val="008F6641"/>
    <w:rsid w:val="0092621B"/>
    <w:rsid w:val="0096041F"/>
    <w:rsid w:val="009C2A1B"/>
    <w:rsid w:val="009F5919"/>
    <w:rsid w:val="00AA1D8D"/>
    <w:rsid w:val="00AA779A"/>
    <w:rsid w:val="00AC6FEA"/>
    <w:rsid w:val="00AD6ADD"/>
    <w:rsid w:val="00B210C6"/>
    <w:rsid w:val="00B47730"/>
    <w:rsid w:val="00CA0057"/>
    <w:rsid w:val="00CB0664"/>
    <w:rsid w:val="00CE1A95"/>
    <w:rsid w:val="00D652F8"/>
    <w:rsid w:val="00DA5825"/>
    <w:rsid w:val="00DC2893"/>
    <w:rsid w:val="00E2029E"/>
    <w:rsid w:val="00EE4355"/>
    <w:rsid w:val="00EE7A6B"/>
    <w:rsid w:val="00EE7C2C"/>
    <w:rsid w:val="00F06792"/>
    <w:rsid w:val="00FC693F"/>
    <w:rsid w:val="00FF3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3D600F"/>
  <w14:defaultImageDpi w14:val="300"/>
  <w15:docId w15:val="{ECB71F55-49D2-814E-B383-CE7164D46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4332F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6B5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6B5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6B5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6041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041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267C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yperlink" Target="https://drive.google.com/drive/folders/15Anzbpsxag13cpAZZUj2TdeTtH69ok2L?usp=drive_link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oter" Target="footer2.xml"/><Relationship Id="rId8" Type="http://schemas.openxmlformats.org/officeDocument/2006/relationships/hyperlink" Target="https://archive.ics.uci.edu/dataset/45/heart+disea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8f49a32-fde3-48a5-9266-b5b0972a22dc}" enabled="1" method="Standard" siteId="{5ae1af62-9505-4097-a69a-c1553ef7840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1470</Words>
  <Characters>8379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Heart Disease MLOps: Assignment Report</vt:lpstr>
    </vt:vector>
  </TitlesOfParts>
  <Manager/>
  <Company/>
  <LinksUpToDate>false</LinksUpToDate>
  <CharactersWithSpaces>9830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Heart Disease MLOps: Assignment Report</dc:title>
  <dc:subject>AIMLCZG523 MLOps Assignment 01</dc:subject>
  <dc:creator>Ashita Kumari</dc:creator>
  <cp:keywords/>
  <dc:description/>
  <cp:lastModifiedBy>Ankit Kumar</cp:lastModifiedBy>
  <cp:revision>2</cp:revision>
  <dcterms:created xsi:type="dcterms:W3CDTF">2026-10-20T13:47:00Z</dcterms:created>
  <dcterms:modified xsi:type="dcterms:W3CDTF">2026-10-20T13:47:00Z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6eaf7078,1ccc5324,2921f7df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Cisco Confidential</vt:lpwstr>
  </property>
</Properties>
</file>