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rFonts w:ascii="Arial" w:hAnsi="Arial"/>
          <w:b/>
          <w:color w:val="1F4E79"/>
          <w:sz w:val="44"/>
        </w:rPr>
        <w:t>ReAssist: Autonomous Research Intelligence Engine</w:t>
      </w:r>
    </w:p>
    <w:p>
      <w:pPr>
        <w:spacing w:before="0" w:after="320"/>
        <w:jc w:val="center"/>
      </w:pPr>
      <w:r>
        <w:rPr>
          <w:rFonts w:ascii="Arial" w:hAnsi="Arial"/>
          <w:color w:val="555555"/>
          <w:sz w:val="26"/>
        </w:rPr>
        <w:t>Comprehensive Technical Defense, System Architecture &amp; Empirical Analysis Report</w:t>
      </w:r>
    </w:p>
    <w:p>
      <w:pPr>
        <w:spacing w:before="0" w:after="480"/>
        <w:jc w:val="center"/>
      </w:pPr>
      <w:r>
        <w:rPr>
          <w:rFonts w:ascii="Calibri" w:hAnsi="Calibri"/>
          <w:color w:val="777777"/>
          <w:sz w:val="20"/>
        </w:rPr>
        <w:t>Author: ReAssist Engineering Team  |  Date: October 2026  |  Status: Production (v3.2.0)</w:t>
        <w:br/>
        <w:t>Repository: Ashithshetty6361/ReAssist</w:t>
      </w:r>
    </w:p>
    <w:p>
      <w:pPr>
        <w:spacing w:after="320"/>
      </w:pPr>
      <w:r>
        <w:rPr>
          <w:color w:val="CCCCCC"/>
          <w:sz w:val="20"/>
        </w:rPr>
        <w:t>_________________________________________________________________________________</w:t>
      </w:r>
    </w:p>
    <w:p>
      <w:pPr>
        <w:pStyle w:val="Heading1"/>
      </w:pPr>
      <w:r>
        <w:rPr>
          <w:rFonts w:ascii="Arial" w:hAnsi="Arial"/>
          <w:color w:val="1F4E79"/>
          <w:sz w:val="32"/>
        </w:rPr>
        <w:t>1. Executive Summary &amp; The Core Research Problem</w:t>
      </w:r>
    </w:p>
    <w:p>
      <w:r>
        <w:t>ReAssist is an autonomous research intelligence engine engineered to accelerate scientific discovery. The system retrieves peer-reviewed literature across academic repositories (arXiv and Semantic Scholar) and local vector stores (ChromaDB), synthesizes findings across disparate papers, systematically pinpoints unexplored research gaps, formulates novel mathematical/algorithmic hypotheses, and generates concrete, actionable implementation roadmaps with compute and dataset specifications.</w:t>
      </w:r>
    </w:p>
    <w:p>
      <w:r>
        <w:t>Modern LLM applications frequently suffer from two opposing engineering extremes: (1) monolithic single-prompt architectures that suffer from context saturation, attention dispersion, and vague generalities, or (2) unconstrained multi-agent swarms that burn dozens of API calls for simple lookups, incurring unsustainable costs and 30-60 second latencies.</w:t>
      </w:r>
    </w:p>
    <w:tbl>
      <w:tblPr>
        <w:tblW w:type="auto" w:w="0"/>
        <w:jc w:val="center"/>
        <w:tblLayout w:type="fixed"/>
        <w:tblLook w:firstColumn="1" w:firstRow="1" w:lastColumn="0" w:lastRow="0" w:noHBand="0" w:noVBand="1" w:val="04A0"/>
      </w:tblPr>
      <w:tblGrid>
        <w:gridCol w:w="9360"/>
      </w:tblGrid>
      <w:tr>
        <w:tc>
          <w:tcPr>
            <w:tcW w:type="dxa" w:w="9360"/>
            <w:shd w:fill="F0F7FF"/>
            <w:tcMar>
              <w:top w:w="140" w:type="dxa"/>
              <w:bottom w:w="140" w:type="dxa"/>
              <w:left w:w="200" w:type="dxa"/>
              <w:right w:w="200" w:type="dxa"/>
            </w:tcMar>
            <w:tcBorders>
              <w:top w:val="none"/>
              <w:left w:val="single" w:sz="24" w:space="0" w:color="1A73E8"/>
              <w:bottom w:val="none"/>
              <w:right w:val="none"/>
            </w:tcBorders>
          </w:tcPr>
          <w:p>
            <w:pPr>
              <w:spacing w:before="40" w:after="40"/>
            </w:pPr>
            <w:r>
              <w:rPr>
                <w:rFonts w:ascii="Arial" w:hAnsi="Arial"/>
                <w:b/>
                <w:color w:val="1A568D"/>
                <w:sz w:val="20"/>
              </w:rPr>
              <w:t xml:space="preserve">[CORE RESEARCH QUESTION] </w:t>
            </w:r>
            <w:r>
              <w:rPr>
                <w:rFonts w:ascii="Calibri" w:hAnsi="Calibri"/>
                <w:color w:val="333333"/>
                <w:sz w:val="20"/>
              </w:rPr>
              <w:t>"When is a multi-agent system actually worth its cost and latency compared to a single LLM or Chain-of-Thought (CoT) baseline? ReAssist answers this by introducing an AgenticOps heuristic router that dynamically steers queries, reducing operational costs by ~75% while delivering +56% higher specificity on complex research queries."</w:t>
            </w:r>
          </w:p>
        </w:tc>
      </w:tr>
    </w:tbl>
    <w:p>
      <w:pPr>
        <w:spacing w:before="0" w:after="80"/>
      </w:pPr>
    </w:p>
    <w:p>
      <w:pPr>
        <w:pStyle w:val="Heading1"/>
      </w:pPr>
      <w:r>
        <w:rPr>
          <w:rFonts w:ascii="Arial" w:hAnsi="Arial"/>
          <w:color w:val="1F4E79"/>
          <w:sz w:val="32"/>
        </w:rPr>
        <w:t>2. Why This Particular Approach Was Used (Architectural Rationale)</w:t>
      </w:r>
    </w:p>
    <w:p>
      <w:pPr>
        <w:pStyle w:val="Heading2"/>
      </w:pPr>
      <w:r>
        <w:t>2.1 Multi-Agent Task Decomposition vs. Monolithic Prompts</w:t>
      </w:r>
    </w:p>
    <w:p>
      <w:r>
        <w:t>When an LLM is asked in a single prompt to simultaneously parse multiple papers, summarize them, detect contradictions, uncover gaps, and design new experiments, it suffers from the 'Lost in the Middle' phenomenon and attention dilution. By enforcing the Single Responsibility Principle (SRP), ReAssist dedicates specialized agents to isolated analytical dimensions: Search, Summarization, Cross-Paper Synthesis, Gap Finding, Idea Generation, Alternative Techniques, and Engineering Guidance.</w:t>
      </w:r>
    </w:p>
    <w:p>
      <w:pPr>
        <w:pStyle w:val="Heading2"/>
      </w:pPr>
      <w:r>
        <w:t>2.2 LangGraph Declarative State Machine vs. Imperative Scripts</w:t>
      </w:r>
    </w:p>
    <w:p>
      <w:r>
        <w:t>Early iterations of the project relied on imperative Python scripts with manual retry loops and if/else conditions. This led to tight coupling, brittle error recovery, and difficulty managing complex state transitions. The system was migrated to a LangGraph-backed declarative state machine (graph_builder.py), providing: (1) A strongly typed PipelineState object flowing between nodes, (2) Native cyclic graphs for query-rewriting and self-correction, (3) Isolated node updates via state diffs, and (4) Built-in conditional edge routing with error short-circuiting.</w:t>
      </w:r>
    </w:p>
    <w:p>
      <w:pPr>
        <w:pStyle w:val="Heading2"/>
      </w:pPr>
      <w:r>
        <w:t>2.3 Context Slicing (required_inputs)</w:t>
      </w:r>
    </w:p>
    <w:p>
      <w:r>
        <w:t>In naive multi-agent systems, passing cumulative conversation state to every downstream agent leads to O(N^2) token growth. ReAssist implements strict Context Slicing: each agent specifies a required_inputs list. For example, the GapFinderAgent only receives the synthesized literature text, and the IdeaGeneratorAgent receives only synthesis and gaps. This architectural decision slashed total token consumption by 52% across the 7 core stages.</w:t>
      </w:r>
    </w:p>
    <w:p>
      <w:pPr>
        <w:pStyle w:val="Heading2"/>
      </w:pPr>
      <w:r>
        <w:t>2.4 Dynamic Model Tiering (Tier 1, Tier 2, Tier 3)</w:t>
      </w:r>
    </w:p>
    <w:p>
      <w:r>
        <w:t>Rather than utilizing expensive frontier models (GPT-4o or Claude 3.5 Sonnet) for all operations, ReAssist implements a 3-tier model strategy:</w:t>
        <w:br/>
        <w:t>• Tier 1 (Fast &amp; Economical): gpt-4o-mini / Claude Haiku / local Phi-3 for binary relevance grading, query rewriting, and verification.</w:t>
        <w:br/>
        <w:t>• Tier 2 (Balanced): gpt-4o-mini / Claude 3.5 Sonnet for chunked paper summarization, technique mapping, and guidance roadmapping.</w:t>
        <w:br/>
        <w:t>• Tier 3 (Frontier Reasoning): gpt-4o / Claude 3.5 Sonnet exclusively for literature synthesis, contradiction resolution, and hypothesis formulation.</w:t>
      </w:r>
    </w:p>
    <w:p>
      <w:pPr>
        <w:pStyle w:val="Heading2"/>
      </w:pPr>
      <w:r>
        <w:t>2.5 AgenticOps Heuristic Router</w:t>
      </w:r>
    </w:p>
    <w:p>
      <w:r>
        <w:t>Running the full 11-agent pipeline for a standard lookup (e.g., 'What is LoRA?') is economically irresponsible. The AgenticOps Router evaluates incoming queries across 6 lexical and semantic signals in under 5ms, without invoking LLM calls. Queries scoring &lt;= 4 are automatically routed to the single-shot Chain-of-Thought (CoT) baseline, achieving ~75% cost savings and 4x faster latency.</w:t>
      </w:r>
    </w:p>
    <w:p>
      <w:pPr>
        <w:pStyle w:val="Heading1"/>
      </w:pPr>
      <w:r>
        <w:rPr>
          <w:rFonts w:ascii="Arial" w:hAnsi="Arial"/>
          <w:color w:val="1F4E79"/>
          <w:sz w:val="32"/>
        </w:rPr>
        <w:t>3. Empirical Benchmarks: How This Approach Was Proven Better</w:t>
      </w:r>
    </w:p>
    <w:p>
      <w:r>
        <w:t>To rigorously prove superiority, ReAssist implemented a dual evaluation suite (evaluator.py and rag_evaluator.py). A critical control variable was enforced: the Fair Baseline Agent (fair_baseline_agent.py) received the exact same papers as the multi-agent pipeline. Testing was conducted across 10 diverse research domains using human annotations and structural scoring rubrics.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E79"/>
            <w:tcMar>
              <w:top w:w="120" w:type="dxa"/>
              <w:bottom w:w="120" w:type="dxa"/>
              <w:left w:w="140" w:type="dxa"/>
              <w:right w:w="140" w:type="dxa"/>
            </w:tcMar>
          </w:tcPr>
          <w:p>
            <w:pPr>
              <w:jc w:val="center"/>
            </w:pPr>
            <w:r>
              <w:rPr>
                <w:rFonts w:ascii="Arial" w:hAnsi="Arial"/>
                <w:b/>
                <w:color w:val="FFFFFF"/>
                <w:sz w:val="20"/>
              </w:rPr>
              <w:t>Metric</w:t>
            </w:r>
          </w:p>
        </w:tc>
        <w:tc>
          <w:tcPr>
            <w:tcW w:type="dxa" w:w="1872"/>
            <w:shd w:fill="1F4E79"/>
            <w:tcMar>
              <w:top w:w="120" w:type="dxa"/>
              <w:bottom w:w="120" w:type="dxa"/>
              <w:left w:w="140" w:type="dxa"/>
              <w:right w:w="140" w:type="dxa"/>
            </w:tcMar>
          </w:tcPr>
          <w:p>
            <w:pPr>
              <w:jc w:val="center"/>
            </w:pPr>
            <w:r>
              <w:rPr>
                <w:rFonts w:ascii="Arial" w:hAnsi="Arial"/>
                <w:b/>
                <w:color w:val="FFFFFF"/>
                <w:sz w:val="20"/>
              </w:rPr>
              <w:t>Single CoT Baseline</w:t>
            </w:r>
          </w:p>
        </w:tc>
        <w:tc>
          <w:tcPr>
            <w:tcW w:type="dxa" w:w="1872"/>
            <w:shd w:fill="1F4E79"/>
            <w:tcMar>
              <w:top w:w="120" w:type="dxa"/>
              <w:bottom w:w="120" w:type="dxa"/>
              <w:left w:w="140" w:type="dxa"/>
              <w:right w:w="140" w:type="dxa"/>
            </w:tcMar>
          </w:tcPr>
          <w:p>
            <w:pPr>
              <w:jc w:val="center"/>
            </w:pPr>
            <w:r>
              <w:rPr>
                <w:rFonts w:ascii="Arial" w:hAnsi="Arial"/>
                <w:b/>
                <w:color w:val="FFFFFF"/>
                <w:sz w:val="20"/>
              </w:rPr>
              <w:t>ReAssist Multi-Agent</w:t>
            </w:r>
          </w:p>
        </w:tc>
        <w:tc>
          <w:tcPr>
            <w:tcW w:type="dxa" w:w="1872"/>
            <w:shd w:fill="1F4E79"/>
            <w:tcMar>
              <w:top w:w="120" w:type="dxa"/>
              <w:bottom w:w="120" w:type="dxa"/>
              <w:left w:w="140" w:type="dxa"/>
              <w:right w:w="140" w:type="dxa"/>
            </w:tcMar>
          </w:tcPr>
          <w:p>
            <w:pPr>
              <w:jc w:val="center"/>
            </w:pPr>
            <w:r>
              <w:rPr>
                <w:rFonts w:ascii="Arial" w:hAnsi="Arial"/>
                <w:b/>
                <w:color w:val="FFFFFF"/>
                <w:sz w:val="20"/>
              </w:rPr>
              <w:t>AgenticOps Routed</w:t>
            </w:r>
          </w:p>
        </w:tc>
        <w:tc>
          <w:tcPr>
            <w:tcW w:type="dxa" w:w="1872"/>
            <w:shd w:fill="1F4E79"/>
            <w:tcMar>
              <w:top w:w="120" w:type="dxa"/>
              <w:bottom w:w="120" w:type="dxa"/>
              <w:left w:w="140" w:type="dxa"/>
              <w:right w:w="140" w:type="dxa"/>
            </w:tcMar>
          </w:tcPr>
          <w:p>
            <w:pPr>
              <w:jc w:val="center"/>
            </w:pPr>
            <w:r>
              <w:rPr>
                <w:rFonts w:ascii="Arial" w:hAnsi="Arial"/>
                <w:b/>
                <w:color w:val="FFFFFF"/>
                <w:sz w:val="20"/>
              </w:rPr>
              <w:t>Measured Advantage</w:t>
            </w:r>
          </w:p>
        </w:tc>
      </w:tr>
      <w:tr>
        <w:tc>
          <w:tcPr>
            <w:tcW w:type="dxa" w:w="1872"/>
            <w:shd w:fill="FFFFFF"/>
            <w:tcMar>
              <w:top w:w="100" w:type="dxa"/>
              <w:bottom w:w="100" w:type="dxa"/>
              <w:left w:w="140" w:type="dxa"/>
              <w:right w:w="140" w:type="dxa"/>
            </w:tcMar>
          </w:tcPr>
          <w:p>
            <w:pPr>
              <w:jc w:val="left"/>
            </w:pPr>
            <w:r>
              <w:rPr>
                <w:rFonts w:ascii="Calibri" w:hAnsi="Calibri"/>
                <w:b/>
                <w:color w:val="222222"/>
                <w:sz w:val="19"/>
              </w:rPr>
              <w:t>Coverage Score</w:t>
            </w:r>
          </w:p>
        </w:tc>
        <w:tc>
          <w:tcPr>
            <w:tcW w:type="dxa" w:w="1872"/>
            <w:shd w:fill="FFFFFF"/>
            <w:tcMar>
              <w:top w:w="100" w:type="dxa"/>
              <w:bottom w:w="100" w:type="dxa"/>
              <w:left w:w="140" w:type="dxa"/>
              <w:right w:w="140" w:type="dxa"/>
            </w:tcMar>
          </w:tcPr>
          <w:p>
            <w:pPr>
              <w:jc w:val="left"/>
            </w:pPr>
            <w:r>
              <w:rPr>
                <w:rFonts w:ascii="Calibri" w:hAnsi="Calibri"/>
                <w:color w:val="333333"/>
                <w:sz w:val="19"/>
              </w:rPr>
              <w:t>7.5 / 10</w:t>
            </w:r>
          </w:p>
        </w:tc>
        <w:tc>
          <w:tcPr>
            <w:tcW w:type="dxa" w:w="1872"/>
            <w:shd w:fill="FFFFFF"/>
            <w:tcMar>
              <w:top w:w="100" w:type="dxa"/>
              <w:bottom w:w="100" w:type="dxa"/>
              <w:left w:w="140" w:type="dxa"/>
              <w:right w:w="140" w:type="dxa"/>
            </w:tcMar>
          </w:tcPr>
          <w:p>
            <w:pPr>
              <w:jc w:val="left"/>
            </w:pPr>
            <w:r>
              <w:rPr>
                <w:rFonts w:ascii="Calibri" w:hAnsi="Calibri"/>
                <w:color w:val="333333"/>
                <w:sz w:val="19"/>
              </w:rPr>
              <w:t>9.6 / 10</w:t>
            </w:r>
          </w:p>
        </w:tc>
        <w:tc>
          <w:tcPr>
            <w:tcW w:type="dxa" w:w="1872"/>
            <w:shd w:fill="FFFFFF"/>
            <w:tcMar>
              <w:top w:w="100" w:type="dxa"/>
              <w:bottom w:w="100" w:type="dxa"/>
              <w:left w:w="140" w:type="dxa"/>
              <w:right w:w="140" w:type="dxa"/>
            </w:tcMar>
          </w:tcPr>
          <w:p>
            <w:pPr>
              <w:jc w:val="left"/>
            </w:pPr>
            <w:r>
              <w:rPr>
                <w:rFonts w:ascii="Calibri" w:hAnsi="Calibri"/>
                <w:color w:val="333333"/>
                <w:sz w:val="19"/>
              </w:rPr>
              <w:t>9.2 / 10</w:t>
            </w:r>
          </w:p>
        </w:tc>
        <w:tc>
          <w:tcPr>
            <w:tcW w:type="dxa" w:w="1872"/>
            <w:shd w:fill="FFFFFF"/>
            <w:tcMar>
              <w:top w:w="100" w:type="dxa"/>
              <w:bottom w:w="100" w:type="dxa"/>
              <w:left w:w="140" w:type="dxa"/>
              <w:right w:w="140" w:type="dxa"/>
            </w:tcMar>
          </w:tcPr>
          <w:p>
            <w:pPr>
              <w:jc w:val="left"/>
            </w:pPr>
            <w:r>
              <w:rPr>
                <w:rFonts w:ascii="Calibri" w:hAnsi="Calibri"/>
                <w:color w:val="333333"/>
                <w:sz w:val="19"/>
              </w:rPr>
              <w:t>+28% broader topic &amp; contradiction capture</w:t>
            </w:r>
          </w:p>
        </w:tc>
      </w:tr>
      <w:tr>
        <w:tc>
          <w:tcPr>
            <w:tcW w:type="dxa" w:w="1872"/>
            <w:shd w:fill="F9FAFB"/>
            <w:tcMar>
              <w:top w:w="100" w:type="dxa"/>
              <w:bottom w:w="100" w:type="dxa"/>
              <w:left w:w="140" w:type="dxa"/>
              <w:right w:w="140" w:type="dxa"/>
            </w:tcMar>
          </w:tcPr>
          <w:p>
            <w:pPr>
              <w:jc w:val="left"/>
            </w:pPr>
            <w:r>
              <w:rPr>
                <w:rFonts w:ascii="Calibri" w:hAnsi="Calibri"/>
                <w:b/>
                <w:color w:val="222222"/>
                <w:sz w:val="19"/>
              </w:rPr>
              <w:t>Specificity Score</w:t>
            </w:r>
          </w:p>
        </w:tc>
        <w:tc>
          <w:tcPr>
            <w:tcW w:type="dxa" w:w="1872"/>
            <w:shd w:fill="F9FAFB"/>
            <w:tcMar>
              <w:top w:w="100" w:type="dxa"/>
              <w:bottom w:w="100" w:type="dxa"/>
              <w:left w:w="140" w:type="dxa"/>
              <w:right w:w="140" w:type="dxa"/>
            </w:tcMar>
          </w:tcPr>
          <w:p>
            <w:pPr>
              <w:jc w:val="left"/>
            </w:pPr>
            <w:r>
              <w:rPr>
                <w:rFonts w:ascii="Calibri" w:hAnsi="Calibri"/>
                <w:color w:val="333333"/>
                <w:sz w:val="19"/>
              </w:rPr>
              <w:t>5.8 / 10</w:t>
            </w:r>
          </w:p>
        </w:tc>
        <w:tc>
          <w:tcPr>
            <w:tcW w:type="dxa" w:w="1872"/>
            <w:shd w:fill="F9FAFB"/>
            <w:tcMar>
              <w:top w:w="100" w:type="dxa"/>
              <w:bottom w:w="100" w:type="dxa"/>
              <w:left w:w="140" w:type="dxa"/>
              <w:right w:w="140" w:type="dxa"/>
            </w:tcMar>
          </w:tcPr>
          <w:p>
            <w:pPr>
              <w:jc w:val="left"/>
            </w:pPr>
            <w:r>
              <w:rPr>
                <w:rFonts w:ascii="Calibri" w:hAnsi="Calibri"/>
                <w:color w:val="333333"/>
                <w:sz w:val="19"/>
              </w:rPr>
              <w:t>9.1 / 10</w:t>
            </w:r>
          </w:p>
        </w:tc>
        <w:tc>
          <w:tcPr>
            <w:tcW w:type="dxa" w:w="1872"/>
            <w:shd w:fill="F9FAFB"/>
            <w:tcMar>
              <w:top w:w="100" w:type="dxa"/>
              <w:bottom w:w="100" w:type="dxa"/>
              <w:left w:w="140" w:type="dxa"/>
              <w:right w:w="140" w:type="dxa"/>
            </w:tcMar>
          </w:tcPr>
          <w:p>
            <w:pPr>
              <w:jc w:val="left"/>
            </w:pPr>
            <w:r>
              <w:rPr>
                <w:rFonts w:ascii="Calibri" w:hAnsi="Calibri"/>
                <w:color w:val="333333"/>
                <w:sz w:val="19"/>
              </w:rPr>
              <w:t>8.8 / 10</w:t>
            </w:r>
          </w:p>
        </w:tc>
        <w:tc>
          <w:tcPr>
            <w:tcW w:type="dxa" w:w="1872"/>
            <w:shd w:fill="F9FAFB"/>
            <w:tcMar>
              <w:top w:w="100" w:type="dxa"/>
              <w:bottom w:w="100" w:type="dxa"/>
              <w:left w:w="140" w:type="dxa"/>
              <w:right w:w="140" w:type="dxa"/>
            </w:tcMar>
          </w:tcPr>
          <w:p>
            <w:pPr>
              <w:jc w:val="left"/>
            </w:pPr>
            <w:r>
              <w:rPr>
                <w:rFonts w:ascii="Calibri" w:hAnsi="Calibri"/>
                <w:color w:val="333333"/>
                <w:sz w:val="19"/>
              </w:rPr>
              <w:t>+56% concrete mathematical hypotheses</w:t>
            </w:r>
          </w:p>
        </w:tc>
      </w:tr>
      <w:tr>
        <w:tc>
          <w:tcPr>
            <w:tcW w:type="dxa" w:w="1872"/>
            <w:shd w:fill="FFFFFF"/>
            <w:tcMar>
              <w:top w:w="100" w:type="dxa"/>
              <w:bottom w:w="100" w:type="dxa"/>
              <w:left w:w="140" w:type="dxa"/>
              <w:right w:w="140" w:type="dxa"/>
            </w:tcMar>
          </w:tcPr>
          <w:p>
            <w:pPr>
              <w:jc w:val="left"/>
            </w:pPr>
            <w:r>
              <w:rPr>
                <w:rFonts w:ascii="Calibri" w:hAnsi="Calibri"/>
                <w:b/>
                <w:color w:val="222222"/>
                <w:sz w:val="19"/>
              </w:rPr>
              <w:t>Actionability Score</w:t>
            </w:r>
          </w:p>
        </w:tc>
        <w:tc>
          <w:tcPr>
            <w:tcW w:type="dxa" w:w="1872"/>
            <w:shd w:fill="FFFFFF"/>
            <w:tcMar>
              <w:top w:w="100" w:type="dxa"/>
              <w:bottom w:w="100" w:type="dxa"/>
              <w:left w:w="140" w:type="dxa"/>
              <w:right w:w="140" w:type="dxa"/>
            </w:tcMar>
          </w:tcPr>
          <w:p>
            <w:pPr>
              <w:jc w:val="left"/>
            </w:pPr>
            <w:r>
              <w:rPr>
                <w:rFonts w:ascii="Calibri" w:hAnsi="Calibri"/>
                <w:color w:val="333333"/>
                <w:sz w:val="19"/>
              </w:rPr>
              <w:t>4.2 / 10</w:t>
            </w:r>
          </w:p>
        </w:tc>
        <w:tc>
          <w:tcPr>
            <w:tcW w:type="dxa" w:w="1872"/>
            <w:shd w:fill="FFFFFF"/>
            <w:tcMar>
              <w:top w:w="100" w:type="dxa"/>
              <w:bottom w:w="100" w:type="dxa"/>
              <w:left w:w="140" w:type="dxa"/>
              <w:right w:w="140" w:type="dxa"/>
            </w:tcMar>
          </w:tcPr>
          <w:p>
            <w:pPr>
              <w:jc w:val="left"/>
            </w:pPr>
            <w:r>
              <w:rPr>
                <w:rFonts w:ascii="Calibri" w:hAnsi="Calibri"/>
                <w:color w:val="333333"/>
                <w:sz w:val="19"/>
              </w:rPr>
              <w:t>8.9 / 10</w:t>
            </w:r>
          </w:p>
        </w:tc>
        <w:tc>
          <w:tcPr>
            <w:tcW w:type="dxa" w:w="1872"/>
            <w:shd w:fill="FFFFFF"/>
            <w:tcMar>
              <w:top w:w="100" w:type="dxa"/>
              <w:bottom w:w="100" w:type="dxa"/>
              <w:left w:w="140" w:type="dxa"/>
              <w:right w:w="140" w:type="dxa"/>
            </w:tcMar>
          </w:tcPr>
          <w:p>
            <w:pPr>
              <w:jc w:val="left"/>
            </w:pPr>
            <w:r>
              <w:rPr>
                <w:rFonts w:ascii="Calibri" w:hAnsi="Calibri"/>
                <w:color w:val="333333"/>
                <w:sz w:val="19"/>
              </w:rPr>
              <w:t>8.5 / 10</w:t>
            </w:r>
          </w:p>
        </w:tc>
        <w:tc>
          <w:tcPr>
            <w:tcW w:type="dxa" w:w="1872"/>
            <w:shd w:fill="FFFFFF"/>
            <w:tcMar>
              <w:top w:w="100" w:type="dxa"/>
              <w:bottom w:w="100" w:type="dxa"/>
              <w:left w:w="140" w:type="dxa"/>
              <w:right w:w="140" w:type="dxa"/>
            </w:tcMar>
          </w:tcPr>
          <w:p>
            <w:pPr>
              <w:jc w:val="left"/>
            </w:pPr>
            <w:r>
              <w:rPr>
                <w:rFonts w:ascii="Calibri" w:hAnsi="Calibri"/>
                <w:color w:val="333333"/>
                <w:sz w:val="19"/>
              </w:rPr>
              <w:t>+112% detailed compute/skill guidance</w:t>
            </w:r>
          </w:p>
        </w:tc>
      </w:tr>
      <w:tr>
        <w:tc>
          <w:tcPr>
            <w:tcW w:type="dxa" w:w="1872"/>
            <w:shd w:fill="F9FAFB"/>
            <w:tcMar>
              <w:top w:w="100" w:type="dxa"/>
              <w:bottom w:w="100" w:type="dxa"/>
              <w:left w:w="140" w:type="dxa"/>
              <w:right w:w="140" w:type="dxa"/>
            </w:tcMar>
          </w:tcPr>
          <w:p>
            <w:pPr>
              <w:jc w:val="left"/>
            </w:pPr>
            <w:r>
              <w:rPr>
                <w:rFonts w:ascii="Calibri" w:hAnsi="Calibri"/>
                <w:b/>
                <w:color w:val="222222"/>
                <w:sz w:val="19"/>
              </w:rPr>
              <w:t>Average Latency</w:t>
            </w:r>
          </w:p>
        </w:tc>
        <w:tc>
          <w:tcPr>
            <w:tcW w:type="dxa" w:w="1872"/>
            <w:shd w:fill="F9FAFB"/>
            <w:tcMar>
              <w:top w:w="100" w:type="dxa"/>
              <w:bottom w:w="100" w:type="dxa"/>
              <w:left w:w="140" w:type="dxa"/>
              <w:right w:w="140" w:type="dxa"/>
            </w:tcMar>
          </w:tcPr>
          <w:p>
            <w:pPr>
              <w:jc w:val="left"/>
            </w:pPr>
            <w:r>
              <w:rPr>
                <w:rFonts w:ascii="Calibri" w:hAnsi="Calibri"/>
                <w:color w:val="333333"/>
                <w:sz w:val="19"/>
              </w:rPr>
              <w:t>~9 seconds</w:t>
            </w:r>
          </w:p>
        </w:tc>
        <w:tc>
          <w:tcPr>
            <w:tcW w:type="dxa" w:w="1872"/>
            <w:shd w:fill="F9FAFB"/>
            <w:tcMar>
              <w:top w:w="100" w:type="dxa"/>
              <w:bottom w:w="100" w:type="dxa"/>
              <w:left w:w="140" w:type="dxa"/>
              <w:right w:w="140" w:type="dxa"/>
            </w:tcMar>
          </w:tcPr>
          <w:p>
            <w:pPr>
              <w:jc w:val="left"/>
            </w:pPr>
            <w:r>
              <w:rPr>
                <w:rFonts w:ascii="Calibri" w:hAnsi="Calibri"/>
                <w:color w:val="333333"/>
                <w:sz w:val="19"/>
              </w:rPr>
              <w:t>~35 seconds</w:t>
            </w:r>
          </w:p>
        </w:tc>
        <w:tc>
          <w:tcPr>
            <w:tcW w:type="dxa" w:w="1872"/>
            <w:shd w:fill="F9FAFB"/>
            <w:tcMar>
              <w:top w:w="100" w:type="dxa"/>
              <w:bottom w:w="100" w:type="dxa"/>
              <w:left w:w="140" w:type="dxa"/>
              <w:right w:w="140" w:type="dxa"/>
            </w:tcMar>
          </w:tcPr>
          <w:p>
            <w:pPr>
              <w:jc w:val="left"/>
            </w:pPr>
            <w:r>
              <w:rPr>
                <w:rFonts w:ascii="Calibri" w:hAnsi="Calibri"/>
                <w:color w:val="333333"/>
                <w:sz w:val="19"/>
              </w:rPr>
              <w:t>~15 seconds</w:t>
            </w:r>
          </w:p>
        </w:tc>
        <w:tc>
          <w:tcPr>
            <w:tcW w:type="dxa" w:w="1872"/>
            <w:shd w:fill="F9FAFB"/>
            <w:tcMar>
              <w:top w:w="100" w:type="dxa"/>
              <w:bottom w:w="100" w:type="dxa"/>
              <w:left w:w="140" w:type="dxa"/>
              <w:right w:w="140" w:type="dxa"/>
            </w:tcMar>
          </w:tcPr>
          <w:p>
            <w:pPr>
              <w:jc w:val="left"/>
            </w:pPr>
            <w:r>
              <w:rPr>
                <w:rFonts w:ascii="Calibri" w:hAnsi="Calibri"/>
                <w:color w:val="333333"/>
                <w:sz w:val="19"/>
              </w:rPr>
              <w:t>Fast responses for simple queries</w:t>
            </w:r>
          </w:p>
        </w:tc>
      </w:tr>
      <w:tr>
        <w:tc>
          <w:tcPr>
            <w:tcW w:type="dxa" w:w="1872"/>
            <w:shd w:fill="FFFFFF"/>
            <w:tcMar>
              <w:top w:w="100" w:type="dxa"/>
              <w:bottom w:w="100" w:type="dxa"/>
              <w:left w:w="140" w:type="dxa"/>
              <w:right w:w="140" w:type="dxa"/>
            </w:tcMar>
          </w:tcPr>
          <w:p>
            <w:pPr>
              <w:jc w:val="left"/>
            </w:pPr>
            <w:r>
              <w:rPr>
                <w:rFonts w:ascii="Calibri" w:hAnsi="Calibri"/>
                <w:b/>
                <w:color w:val="222222"/>
                <w:sz w:val="19"/>
              </w:rPr>
              <w:t>Cost per Query</w:t>
            </w:r>
          </w:p>
        </w:tc>
        <w:tc>
          <w:tcPr>
            <w:tcW w:type="dxa" w:w="1872"/>
            <w:shd w:fill="FFFFFF"/>
            <w:tcMar>
              <w:top w:w="100" w:type="dxa"/>
              <w:bottom w:w="100" w:type="dxa"/>
              <w:left w:w="140" w:type="dxa"/>
              <w:right w:w="140" w:type="dxa"/>
            </w:tcMar>
          </w:tcPr>
          <w:p>
            <w:pPr>
              <w:jc w:val="left"/>
            </w:pPr>
            <w:r>
              <w:rPr>
                <w:rFonts w:ascii="Calibri" w:hAnsi="Calibri"/>
                <w:color w:val="333333"/>
                <w:sz w:val="19"/>
              </w:rPr>
              <w:t>~$0.0015</w:t>
            </w:r>
          </w:p>
        </w:tc>
        <w:tc>
          <w:tcPr>
            <w:tcW w:type="dxa" w:w="1872"/>
            <w:shd w:fill="FFFFFF"/>
            <w:tcMar>
              <w:top w:w="100" w:type="dxa"/>
              <w:bottom w:w="100" w:type="dxa"/>
              <w:left w:w="140" w:type="dxa"/>
              <w:right w:w="140" w:type="dxa"/>
            </w:tcMar>
          </w:tcPr>
          <w:p>
            <w:pPr>
              <w:jc w:val="left"/>
            </w:pPr>
            <w:r>
              <w:rPr>
                <w:rFonts w:ascii="Calibri" w:hAnsi="Calibri"/>
                <w:color w:val="333333"/>
                <w:sz w:val="19"/>
              </w:rPr>
              <w:t>~$0.0060</w:t>
            </w:r>
          </w:p>
        </w:tc>
        <w:tc>
          <w:tcPr>
            <w:tcW w:type="dxa" w:w="1872"/>
            <w:shd w:fill="FFFFFF"/>
            <w:tcMar>
              <w:top w:w="100" w:type="dxa"/>
              <w:bottom w:w="100" w:type="dxa"/>
              <w:left w:w="140" w:type="dxa"/>
              <w:right w:w="140" w:type="dxa"/>
            </w:tcMar>
          </w:tcPr>
          <w:p>
            <w:pPr>
              <w:jc w:val="left"/>
            </w:pPr>
            <w:r>
              <w:rPr>
                <w:rFonts w:ascii="Calibri" w:hAnsi="Calibri"/>
                <w:color w:val="333333"/>
                <w:sz w:val="19"/>
              </w:rPr>
              <w:t>~$0.0026</w:t>
            </w:r>
          </w:p>
        </w:tc>
        <w:tc>
          <w:tcPr>
            <w:tcW w:type="dxa" w:w="1872"/>
            <w:shd w:fill="FFFFFF"/>
            <w:tcMar>
              <w:top w:w="100" w:type="dxa"/>
              <w:bottom w:w="100" w:type="dxa"/>
              <w:left w:w="140" w:type="dxa"/>
              <w:right w:w="140" w:type="dxa"/>
            </w:tcMar>
          </w:tcPr>
          <w:p>
            <w:pPr>
              <w:jc w:val="left"/>
            </w:pPr>
            <w:r>
              <w:rPr>
                <w:rFonts w:ascii="Calibri" w:hAnsi="Calibri"/>
                <w:color w:val="333333"/>
                <w:sz w:val="19"/>
              </w:rPr>
              <w:t>~75% cost reduction on routed queries</w:t>
            </w:r>
          </w:p>
        </w:tc>
      </w:tr>
      <w:tr>
        <w:tc>
          <w:tcPr>
            <w:tcW w:type="dxa" w:w="1872"/>
            <w:shd w:fill="F9FAFB"/>
            <w:tcMar>
              <w:top w:w="100" w:type="dxa"/>
              <w:bottom w:w="100" w:type="dxa"/>
              <w:left w:w="140" w:type="dxa"/>
              <w:right w:w="140" w:type="dxa"/>
            </w:tcMar>
          </w:tcPr>
          <w:p>
            <w:pPr>
              <w:jc w:val="left"/>
            </w:pPr>
            <w:r>
              <w:rPr>
                <w:rFonts w:ascii="Calibri" w:hAnsi="Calibri"/>
                <w:b/>
                <w:color w:val="222222"/>
                <w:sz w:val="19"/>
              </w:rPr>
              <w:t>Hallucination Rate</w:t>
            </w:r>
          </w:p>
        </w:tc>
        <w:tc>
          <w:tcPr>
            <w:tcW w:type="dxa" w:w="1872"/>
            <w:shd w:fill="F9FAFB"/>
            <w:tcMar>
              <w:top w:w="100" w:type="dxa"/>
              <w:bottom w:w="100" w:type="dxa"/>
              <w:left w:w="140" w:type="dxa"/>
              <w:right w:w="140" w:type="dxa"/>
            </w:tcMar>
          </w:tcPr>
          <w:p>
            <w:pPr>
              <w:jc w:val="left"/>
            </w:pPr>
            <w:r>
              <w:rPr>
                <w:rFonts w:ascii="Calibri" w:hAnsi="Calibri"/>
                <w:color w:val="333333"/>
                <w:sz w:val="19"/>
              </w:rPr>
              <w:t>~14.2%</w:t>
            </w:r>
          </w:p>
        </w:tc>
        <w:tc>
          <w:tcPr>
            <w:tcW w:type="dxa" w:w="1872"/>
            <w:shd w:fill="F9FAFB"/>
            <w:tcMar>
              <w:top w:w="100" w:type="dxa"/>
              <w:bottom w:w="100" w:type="dxa"/>
              <w:left w:w="140" w:type="dxa"/>
              <w:right w:w="140" w:type="dxa"/>
            </w:tcMar>
          </w:tcPr>
          <w:p>
            <w:pPr>
              <w:jc w:val="left"/>
            </w:pPr>
            <w:r>
              <w:rPr>
                <w:rFonts w:ascii="Calibri" w:hAnsi="Calibri"/>
                <w:color w:val="333333"/>
                <w:sz w:val="19"/>
              </w:rPr>
              <w:t>&lt; 2.8%</w:t>
            </w:r>
          </w:p>
        </w:tc>
        <w:tc>
          <w:tcPr>
            <w:tcW w:type="dxa" w:w="1872"/>
            <w:shd w:fill="F9FAFB"/>
            <w:tcMar>
              <w:top w:w="100" w:type="dxa"/>
              <w:bottom w:w="100" w:type="dxa"/>
              <w:left w:w="140" w:type="dxa"/>
              <w:right w:w="140" w:type="dxa"/>
            </w:tcMar>
          </w:tcPr>
          <w:p>
            <w:pPr>
              <w:jc w:val="left"/>
            </w:pPr>
            <w:r>
              <w:rPr>
                <w:rFonts w:ascii="Calibri" w:hAnsi="Calibri"/>
                <w:color w:val="333333"/>
                <w:sz w:val="19"/>
              </w:rPr>
              <w:t>&lt; 3.5%</w:t>
            </w:r>
          </w:p>
        </w:tc>
        <w:tc>
          <w:tcPr>
            <w:tcW w:type="dxa" w:w="1872"/>
            <w:shd w:fill="F9FAFB"/>
            <w:tcMar>
              <w:top w:w="100" w:type="dxa"/>
              <w:bottom w:w="100" w:type="dxa"/>
              <w:left w:w="140" w:type="dxa"/>
              <w:right w:w="140" w:type="dxa"/>
            </w:tcMar>
          </w:tcPr>
          <w:p>
            <w:pPr>
              <w:jc w:val="left"/>
            </w:pPr>
            <w:r>
              <w:rPr>
                <w:rFonts w:ascii="Calibri" w:hAnsi="Calibri"/>
                <w:color w:val="333333"/>
                <w:sz w:val="19"/>
              </w:rPr>
              <w:t>Filtered by Verifier and Relevance Grader</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2FBF5"/>
            <w:tcMar>
              <w:top w:w="140" w:type="dxa"/>
              <w:bottom w:w="140" w:type="dxa"/>
              <w:left w:w="200" w:type="dxa"/>
              <w:right w:w="200" w:type="dxa"/>
            </w:tcMar>
            <w:tcBorders>
              <w:top w:val="none"/>
              <w:left w:val="single" w:sz="24" w:space="0" w:color="28A745"/>
              <w:bottom w:val="none"/>
              <w:right w:val="none"/>
            </w:tcBorders>
          </w:tcPr>
          <w:p>
            <w:pPr>
              <w:spacing w:before="40" w:after="40"/>
            </w:pPr>
            <w:r>
              <w:rPr>
                <w:rFonts w:ascii="Arial" w:hAnsi="Arial"/>
                <w:b/>
                <w:color w:val="1A568D"/>
                <w:sz w:val="20"/>
              </w:rPr>
              <w:t xml:space="preserve">[EMPIRICAL FINDING] </w:t>
            </w:r>
            <w:r>
              <w:rPr>
                <w:rFonts w:ascii="Calibri" w:hAnsi="Calibri"/>
                <w:color w:val="333333"/>
                <w:sz w:val="20"/>
              </w:rPr>
              <w:t>While a single CoT prompt is faster and cheaper, its output on complex frontier research tends toward generic high-level summaries. The ReAssist multi-agent pipeline achieved statistically significant superiority in Specificity (+56%) and Actionability (+112%), proving that multi-agent decomposition is justifiable and necessary for complex exploratory research.</w:t>
            </w:r>
          </w:p>
        </w:tc>
      </w:tr>
    </w:tbl>
    <w:p>
      <w:pPr>
        <w:spacing w:before="0" w:after="80"/>
      </w:pPr>
    </w:p>
    <w:p>
      <w:pPr>
        <w:pStyle w:val="Heading1"/>
      </w:pPr>
      <w:r>
        <w:rPr>
          <w:rFonts w:ascii="Arial" w:hAnsi="Arial"/>
          <w:color w:val="1F4E79"/>
          <w:sz w:val="32"/>
        </w:rPr>
        <w:t>4. Technical Obstacles Encountered &amp; Solutions Implemented</w:t>
      </w:r>
    </w:p>
    <w:p>
      <w:r>
        <w:t>During development and deployment, 5 core architectural obstacles were identified and resolved:</w:t>
      </w:r>
    </w:p>
    <w:tbl>
      <w:tblPr>
        <w:tblW w:type="auto" w:w="0"/>
        <w:jc w:val="center"/>
        <w:tblLook w:firstColumn="1" w:firstRow="1" w:lastColumn="0" w:lastRow="0" w:noHBand="0" w:noVBand="1" w:val="04A0"/>
      </w:tblPr>
      <w:tblGrid>
        <w:gridCol w:w="3120"/>
        <w:gridCol w:w="3120"/>
        <w:gridCol w:w="3120"/>
      </w:tblGrid>
      <w:tr>
        <w:tc>
          <w:tcPr>
            <w:tcW w:type="dxa" w:w="3120"/>
            <w:shd w:fill="1F4E79"/>
            <w:tcMar>
              <w:top w:w="120" w:type="dxa"/>
              <w:bottom w:w="120" w:type="dxa"/>
              <w:left w:w="140" w:type="dxa"/>
              <w:right w:w="140" w:type="dxa"/>
            </w:tcMar>
          </w:tcPr>
          <w:p>
            <w:pPr>
              <w:jc w:val="center"/>
            </w:pPr>
            <w:r>
              <w:rPr>
                <w:rFonts w:ascii="Arial" w:hAnsi="Arial"/>
                <w:b/>
                <w:color w:val="FFFFFF"/>
                <w:sz w:val="20"/>
              </w:rPr>
              <w:t>Obstacle Faced</w:t>
            </w:r>
          </w:p>
        </w:tc>
        <w:tc>
          <w:tcPr>
            <w:tcW w:type="dxa" w:w="3120"/>
            <w:shd w:fill="1F4E79"/>
            <w:tcMar>
              <w:top w:w="120" w:type="dxa"/>
              <w:bottom w:w="120" w:type="dxa"/>
              <w:left w:w="140" w:type="dxa"/>
              <w:right w:w="140" w:type="dxa"/>
            </w:tcMar>
          </w:tcPr>
          <w:p>
            <w:pPr>
              <w:jc w:val="center"/>
            </w:pPr>
            <w:r>
              <w:rPr>
                <w:rFonts w:ascii="Arial" w:hAnsi="Arial"/>
                <w:b/>
                <w:color w:val="FFFFFF"/>
                <w:sz w:val="20"/>
              </w:rPr>
              <w:t>Root Cause &amp; Impact</w:t>
            </w:r>
          </w:p>
        </w:tc>
        <w:tc>
          <w:tcPr>
            <w:tcW w:type="dxa" w:w="3120"/>
            <w:shd w:fill="1F4E79"/>
            <w:tcMar>
              <w:top w:w="120" w:type="dxa"/>
              <w:bottom w:w="120" w:type="dxa"/>
              <w:left w:w="140" w:type="dxa"/>
              <w:right w:w="140" w:type="dxa"/>
            </w:tcMar>
          </w:tcPr>
          <w:p>
            <w:pPr>
              <w:jc w:val="center"/>
            </w:pPr>
            <w:r>
              <w:rPr>
                <w:rFonts w:ascii="Arial" w:hAnsi="Arial"/>
                <w:b/>
                <w:color w:val="FFFFFF"/>
                <w:sz w:val="20"/>
              </w:rPr>
              <w:t>Engineering Solution Implemented</w:t>
            </w:r>
          </w:p>
        </w:tc>
      </w:tr>
      <w:tr>
        <w:tc>
          <w:tcPr>
            <w:tcW w:type="dxa" w:w="3120"/>
            <w:shd w:fill="FFFFFF"/>
            <w:tcMar>
              <w:top w:w="100" w:type="dxa"/>
              <w:bottom w:w="100" w:type="dxa"/>
              <w:left w:w="140" w:type="dxa"/>
              <w:right w:w="140" w:type="dxa"/>
            </w:tcMar>
          </w:tcPr>
          <w:p>
            <w:pPr>
              <w:jc w:val="left"/>
            </w:pPr>
            <w:r>
              <w:rPr>
                <w:rFonts w:ascii="Calibri" w:hAnsi="Calibri"/>
                <w:b/>
                <w:color w:val="222222"/>
                <w:sz w:val="19"/>
              </w:rPr>
              <w:t>1. Hallucination Cascades</w:t>
            </w:r>
          </w:p>
        </w:tc>
        <w:tc>
          <w:tcPr>
            <w:tcW w:type="dxa" w:w="3120"/>
            <w:shd w:fill="FFFFFF"/>
            <w:tcMar>
              <w:top w:w="100" w:type="dxa"/>
              <w:bottom w:w="100" w:type="dxa"/>
              <w:left w:w="140" w:type="dxa"/>
              <w:right w:w="140" w:type="dxa"/>
            </w:tcMar>
          </w:tcPr>
          <w:p>
            <w:pPr>
              <w:jc w:val="left"/>
            </w:pPr>
            <w:r>
              <w:rPr>
                <w:rFonts w:ascii="Calibri" w:hAnsi="Calibri"/>
                <w:color w:val="333333"/>
                <w:sz w:val="19"/>
              </w:rPr>
              <w:t>In sequential chains, an ungrounded claim from an early agent gets accepted as fact by downstream agents, multiplying errors.</w:t>
            </w:r>
          </w:p>
        </w:tc>
        <w:tc>
          <w:tcPr>
            <w:tcW w:type="dxa" w:w="3120"/>
            <w:shd w:fill="FFFFFF"/>
            <w:tcMar>
              <w:top w:w="100" w:type="dxa"/>
              <w:bottom w:w="100" w:type="dxa"/>
              <w:left w:w="140" w:type="dxa"/>
              <w:right w:w="140" w:type="dxa"/>
            </w:tcMar>
          </w:tcPr>
          <w:p>
            <w:pPr>
              <w:jc w:val="left"/>
            </w:pPr>
            <w:r>
              <w:rPr>
                <w:rFonts w:ascii="Calibri" w:hAnsi="Calibri"/>
                <w:color w:val="333333"/>
                <w:sz w:val="19"/>
              </w:rPr>
              <w:t>Engineered the AnswerVerifier agent at pipeline termination. Operates at temperature=0.0 to audit claims against source papers.</w:t>
            </w:r>
          </w:p>
        </w:tc>
      </w:tr>
      <w:tr>
        <w:tc>
          <w:tcPr>
            <w:tcW w:type="dxa" w:w="3120"/>
            <w:shd w:fill="F9FAFB"/>
            <w:tcMar>
              <w:top w:w="100" w:type="dxa"/>
              <w:bottom w:w="100" w:type="dxa"/>
              <w:left w:w="140" w:type="dxa"/>
              <w:right w:w="140" w:type="dxa"/>
            </w:tcMar>
          </w:tcPr>
          <w:p>
            <w:pPr>
              <w:jc w:val="left"/>
            </w:pPr>
            <w:r>
              <w:rPr>
                <w:rFonts w:ascii="Calibri" w:hAnsi="Calibri"/>
                <w:b/>
                <w:color w:val="222222"/>
                <w:sz w:val="19"/>
              </w:rPr>
              <w:t>2. Retrieval Drift &amp; Low-Quality Papers</w:t>
            </w:r>
          </w:p>
        </w:tc>
        <w:tc>
          <w:tcPr>
            <w:tcW w:type="dxa" w:w="3120"/>
            <w:shd w:fill="F9FAFB"/>
            <w:tcMar>
              <w:top w:w="100" w:type="dxa"/>
              <w:bottom w:w="100" w:type="dxa"/>
              <w:left w:w="140" w:type="dxa"/>
              <w:right w:w="140" w:type="dxa"/>
            </w:tcMar>
          </w:tcPr>
          <w:p>
            <w:pPr>
              <w:jc w:val="left"/>
            </w:pPr>
            <w:r>
              <w:rPr>
                <w:rFonts w:ascii="Calibri" w:hAnsi="Calibri"/>
                <w:color w:val="333333"/>
                <w:sz w:val="19"/>
              </w:rPr>
              <w:t>arXiv keyword searches frequently returned irrelevant papers for dense queries, degrading downstream synthesis.</w:t>
            </w:r>
          </w:p>
        </w:tc>
        <w:tc>
          <w:tcPr>
            <w:tcW w:type="dxa" w:w="3120"/>
            <w:shd w:fill="F9FAFB"/>
            <w:tcMar>
              <w:top w:w="100" w:type="dxa"/>
              <w:bottom w:w="100" w:type="dxa"/>
              <w:left w:w="140" w:type="dxa"/>
              <w:right w:w="140" w:type="dxa"/>
            </w:tcMar>
          </w:tcPr>
          <w:p>
            <w:pPr>
              <w:jc w:val="left"/>
            </w:pPr>
            <w:r>
              <w:rPr>
                <w:rFonts w:ascii="Calibri" w:hAnsi="Calibri"/>
                <w:color w:val="333333"/>
                <w:sz w:val="19"/>
              </w:rPr>
              <w:t>Implemented Corrective RAG (CRAG) with RelevanceGrader, QueryRewriter (up to 2 iterations), and Tavily Web Search fallback.</w:t>
            </w:r>
          </w:p>
        </w:tc>
      </w:tr>
      <w:tr>
        <w:tc>
          <w:tcPr>
            <w:tcW w:type="dxa" w:w="3120"/>
            <w:shd w:fill="FFFFFF"/>
            <w:tcMar>
              <w:top w:w="100" w:type="dxa"/>
              <w:bottom w:w="100" w:type="dxa"/>
              <w:left w:w="140" w:type="dxa"/>
              <w:right w:w="140" w:type="dxa"/>
            </w:tcMar>
          </w:tcPr>
          <w:p>
            <w:pPr>
              <w:jc w:val="left"/>
            </w:pPr>
            <w:r>
              <w:rPr>
                <w:rFonts w:ascii="Calibri" w:hAnsi="Calibri"/>
                <w:b/>
                <w:color w:val="222222"/>
                <w:sz w:val="19"/>
              </w:rPr>
              <w:t>3. Token Bloat &amp; Exponential Costs</w:t>
            </w:r>
          </w:p>
        </w:tc>
        <w:tc>
          <w:tcPr>
            <w:tcW w:type="dxa" w:w="3120"/>
            <w:shd w:fill="FFFFFF"/>
            <w:tcMar>
              <w:top w:w="100" w:type="dxa"/>
              <w:bottom w:w="100" w:type="dxa"/>
              <w:left w:w="140" w:type="dxa"/>
              <w:right w:w="140" w:type="dxa"/>
            </w:tcMar>
          </w:tcPr>
          <w:p>
            <w:pPr>
              <w:jc w:val="left"/>
            </w:pPr>
            <w:r>
              <w:rPr>
                <w:rFonts w:ascii="Calibri" w:hAnsi="Calibri"/>
                <w:color w:val="333333"/>
                <w:sz w:val="19"/>
              </w:rPr>
              <w:t>Accumulating raw papers, intermediate summaries, and full chat logs caused prompt tokens to exceed context limits.</w:t>
            </w:r>
          </w:p>
        </w:tc>
        <w:tc>
          <w:tcPr>
            <w:tcW w:type="dxa" w:w="3120"/>
            <w:shd w:fill="FFFFFF"/>
            <w:tcMar>
              <w:top w:w="100" w:type="dxa"/>
              <w:bottom w:w="100" w:type="dxa"/>
              <w:left w:w="140" w:type="dxa"/>
              <w:right w:w="140" w:type="dxa"/>
            </w:tcMar>
          </w:tcPr>
          <w:p>
            <w:pPr>
              <w:jc w:val="left"/>
            </w:pPr>
            <w:r>
              <w:rPr>
                <w:rFonts w:ascii="Calibri" w:hAnsi="Calibri"/>
                <w:color w:val="333333"/>
                <w:sz w:val="19"/>
              </w:rPr>
              <w:t>Enforced Context Slicing via required_inputs, capped summarizer chunks at 2000 tokens, and deployed 3-tier model dispatch.</w:t>
            </w:r>
          </w:p>
        </w:tc>
      </w:tr>
      <w:tr>
        <w:tc>
          <w:tcPr>
            <w:tcW w:type="dxa" w:w="3120"/>
            <w:shd w:fill="F9FAFB"/>
            <w:tcMar>
              <w:top w:w="100" w:type="dxa"/>
              <w:bottom w:w="100" w:type="dxa"/>
              <w:left w:w="140" w:type="dxa"/>
              <w:right w:w="140" w:type="dxa"/>
            </w:tcMar>
          </w:tcPr>
          <w:p>
            <w:pPr>
              <w:jc w:val="left"/>
            </w:pPr>
            <w:r>
              <w:rPr>
                <w:rFonts w:ascii="Calibri" w:hAnsi="Calibri"/>
                <w:b/>
                <w:color w:val="222222"/>
                <w:sz w:val="19"/>
              </w:rPr>
              <w:t>4. Client HTTP Request Timeouts</w:t>
            </w:r>
          </w:p>
        </w:tc>
        <w:tc>
          <w:tcPr>
            <w:tcW w:type="dxa" w:w="3120"/>
            <w:shd w:fill="F9FAFB"/>
            <w:tcMar>
              <w:top w:w="100" w:type="dxa"/>
              <w:bottom w:w="100" w:type="dxa"/>
              <w:left w:w="140" w:type="dxa"/>
              <w:right w:w="140" w:type="dxa"/>
            </w:tcMar>
          </w:tcPr>
          <w:p>
            <w:pPr>
              <w:jc w:val="left"/>
            </w:pPr>
            <w:r>
              <w:rPr>
                <w:rFonts w:ascii="Calibri" w:hAnsi="Calibri"/>
                <w:color w:val="333333"/>
                <w:sz w:val="19"/>
              </w:rPr>
              <w:t>A 35-second multi-agent run frequently exceeded browser HTTP timeout limits and proxy thresholds.</w:t>
            </w:r>
          </w:p>
        </w:tc>
        <w:tc>
          <w:tcPr>
            <w:tcW w:type="dxa" w:w="3120"/>
            <w:shd w:fill="F9FAFB"/>
            <w:tcMar>
              <w:top w:w="100" w:type="dxa"/>
              <w:bottom w:w="100" w:type="dxa"/>
              <w:left w:w="140" w:type="dxa"/>
              <w:right w:w="140" w:type="dxa"/>
            </w:tcMar>
          </w:tcPr>
          <w:p>
            <w:pPr>
              <w:jc w:val="left"/>
            </w:pPr>
            <w:r>
              <w:rPr>
                <w:rFonts w:ascii="Calibri" w:hAnsi="Calibri"/>
                <w:color w:val="333333"/>
                <w:sz w:val="19"/>
              </w:rPr>
              <w:t>Architected an asynchronous job queue in FastAPI (/analyze -&gt; job_id), with client polling and SQLite WAL persistence.</w:t>
            </w:r>
          </w:p>
        </w:tc>
      </w:tr>
      <w:tr>
        <w:tc>
          <w:tcPr>
            <w:tcW w:type="dxa" w:w="3120"/>
            <w:shd w:fill="FFFFFF"/>
            <w:tcMar>
              <w:top w:w="100" w:type="dxa"/>
              <w:bottom w:w="100" w:type="dxa"/>
              <w:left w:w="140" w:type="dxa"/>
              <w:right w:w="140" w:type="dxa"/>
            </w:tcMar>
          </w:tcPr>
          <w:p>
            <w:pPr>
              <w:jc w:val="left"/>
            </w:pPr>
            <w:r>
              <w:rPr>
                <w:rFonts w:ascii="Calibri" w:hAnsi="Calibri"/>
                <w:b/>
                <w:color w:val="222222"/>
                <w:sz w:val="19"/>
              </w:rPr>
              <w:t>5. Cloud API Lock-in &amp; Expense</w:t>
            </w:r>
          </w:p>
        </w:tc>
        <w:tc>
          <w:tcPr>
            <w:tcW w:type="dxa" w:w="3120"/>
            <w:shd w:fill="FFFFFF"/>
            <w:tcMar>
              <w:top w:w="100" w:type="dxa"/>
              <w:bottom w:w="100" w:type="dxa"/>
              <w:left w:w="140" w:type="dxa"/>
              <w:right w:w="140" w:type="dxa"/>
            </w:tcMar>
          </w:tcPr>
          <w:p>
            <w:pPr>
              <w:jc w:val="left"/>
            </w:pPr>
            <w:r>
              <w:rPr>
                <w:rFonts w:ascii="Calibri" w:hAnsi="Calibri"/>
                <w:color w:val="333333"/>
                <w:sz w:val="19"/>
              </w:rPr>
              <w:t>Relying exclusively on proprietary cloud APIs created high recurring costs and vendor dependency.</w:t>
            </w:r>
          </w:p>
        </w:tc>
        <w:tc>
          <w:tcPr>
            <w:tcW w:type="dxa" w:w="3120"/>
            <w:shd w:fill="FFFFFF"/>
            <w:tcMar>
              <w:top w:w="100" w:type="dxa"/>
              <w:bottom w:w="100" w:type="dxa"/>
              <w:left w:w="140" w:type="dxa"/>
              <w:right w:w="140" w:type="dxa"/>
            </w:tcMar>
          </w:tcPr>
          <w:p>
            <w:pPr>
              <w:jc w:val="left"/>
            </w:pPr>
            <w:r>
              <w:rPr>
                <w:rFonts w:ascii="Calibri" w:hAnsi="Calibri"/>
                <w:color w:val="333333"/>
                <w:sz w:val="19"/>
              </w:rPr>
              <w:t>Built a modular LLM provider abstraction supporting OpenAI, AWS Bedrock, Ollama (free local Llama 3.1 / Phi-3), and Hugging Face.</w:t>
            </w:r>
          </w:p>
        </w:tc>
      </w:tr>
    </w:tbl>
    <w:p>
      <w:pPr>
        <w:spacing w:after="120"/>
      </w:pPr>
    </w:p>
    <w:p>
      <w:pPr>
        <w:pStyle w:val="Heading1"/>
      </w:pPr>
      <w:r>
        <w:rPr>
          <w:rFonts w:ascii="Arial" w:hAnsi="Arial"/>
          <w:color w:val="1F4E79"/>
          <w:sz w:val="32"/>
        </w:rPr>
        <w:t>5. End-to-End Operational Workflow: Execution Lifecycle</w:t>
      </w:r>
    </w:p>
    <w:p>
      <w:r>
        <w:t>The ReAssist operational workflow executes through 12 deterministic phases:</w:t>
      </w:r>
    </w:p>
    <w:p>
      <w:pPr>
        <w:spacing w:before="40" w:after="60"/>
      </w:pPr>
      <w:r>
        <w:rPr>
          <w:rFonts w:ascii="Calibri" w:hAnsi="Calibri"/>
          <w:b/>
          <w:color w:val="1F4E79"/>
          <w:sz w:val="20"/>
        </w:rPr>
        <w:t xml:space="preserve">• Phase 1: Ingestion &amp; Telemetry Initialization: </w:t>
      </w:r>
      <w:r>
        <w:rPr>
          <w:rFonts w:ascii="Calibri" w:hAnsi="Calibri"/>
          <w:sz w:val="20"/>
        </w:rPr>
        <w:t>User inputs query via Next.js web application or CLI; execution timing and trace metadata are registered.</w:t>
      </w:r>
    </w:p>
    <w:p>
      <w:pPr>
        <w:spacing w:before="40" w:after="60"/>
      </w:pPr>
      <w:r>
        <w:rPr>
          <w:rFonts w:ascii="Calibri" w:hAnsi="Calibri"/>
          <w:b/>
          <w:color w:val="1F4E79"/>
          <w:sz w:val="20"/>
        </w:rPr>
        <w:t xml:space="preserve">• Phase 2: AgenticOps Complexity Scoring: </w:t>
      </w:r>
      <w:r>
        <w:rPr>
          <w:rFonts w:ascii="Calibri" w:hAnsi="Calibri"/>
          <w:sz w:val="20"/>
        </w:rPr>
        <w:t>Lexical analyzer evaluates complexity (jargon, word count, comparisons) and precision (recency, survey intent). Routes to CoT if score &lt;= 4 or Multi-Agent if score &gt;= 5.</w:t>
      </w:r>
    </w:p>
    <w:p>
      <w:pPr>
        <w:spacing w:before="40" w:after="60"/>
      </w:pPr>
      <w:r>
        <w:rPr>
          <w:rFonts w:ascii="Calibri" w:hAnsi="Calibri"/>
          <w:b/>
          <w:color w:val="1F4E79"/>
          <w:sz w:val="20"/>
        </w:rPr>
        <w:t xml:space="preserve">• Phase 3: Academic &amp; Vector Paper Discovery: </w:t>
      </w:r>
      <w:r>
        <w:rPr>
          <w:rFonts w:ascii="Calibri" w:hAnsi="Calibri"/>
          <w:sz w:val="20"/>
        </w:rPr>
        <w:t>SearchAgent queries arXiv API; if fewer than 5 papers found, queries Semantic Scholar. In PDF mode, RAGRetrieverAgent queries ChromaDB vector store.</w:t>
      </w:r>
    </w:p>
    <w:p>
      <w:pPr>
        <w:spacing w:before="40" w:after="60"/>
      </w:pPr>
      <w:r>
        <w:rPr>
          <w:rFonts w:ascii="Calibri" w:hAnsi="Calibri"/>
          <w:b/>
          <w:color w:val="1F4E79"/>
          <w:sz w:val="20"/>
        </w:rPr>
        <w:t xml:space="preserve">• Phase 4: Relevance Grading &amp; Filtering: </w:t>
      </w:r>
      <w:r>
        <w:rPr>
          <w:rFonts w:ascii="Calibri" w:hAnsi="Calibri"/>
          <w:sz w:val="20"/>
        </w:rPr>
        <w:t>RelevanceGrader executes binary classification on paper abstracts against original research query. Papers marked 'no' are dropped.</w:t>
      </w:r>
    </w:p>
    <w:p>
      <w:pPr>
        <w:spacing w:before="40" w:after="60"/>
      </w:pPr>
      <w:r>
        <w:rPr>
          <w:rFonts w:ascii="Calibri" w:hAnsi="Calibri"/>
          <w:b/>
          <w:color w:val="1F4E79"/>
          <w:sz w:val="20"/>
        </w:rPr>
        <w:t xml:space="preserve">• Phase 5: Self-Corrective Query Rewriting Loop: </w:t>
      </w:r>
      <w:r>
        <w:rPr>
          <w:rFonts w:ascii="Calibri" w:hAnsi="Calibri"/>
          <w:sz w:val="20"/>
        </w:rPr>
        <w:t>If relevant papers &lt; 2, QueryRewriter reformulates search keywords and loops back to SearchAgent (max 2 retries). If still failing, triggers Tavily Web Search fallback.</w:t>
      </w:r>
    </w:p>
    <w:p>
      <w:pPr>
        <w:spacing w:before="40" w:after="60"/>
      </w:pPr>
      <w:r>
        <w:rPr>
          <w:rFonts w:ascii="Calibri" w:hAnsi="Calibri"/>
          <w:b/>
          <w:color w:val="1F4E79"/>
          <w:sz w:val="20"/>
        </w:rPr>
        <w:t xml:space="preserve">• Phase 6: Chunked Literature Summarization: </w:t>
      </w:r>
      <w:r>
        <w:rPr>
          <w:rFonts w:ascii="Calibri" w:hAnsi="Calibri"/>
          <w:sz w:val="20"/>
        </w:rPr>
        <w:t>SummarizerAgent ingests verified papers, breaks text into 2,000-token chunks, and extracts primary methodologies, empirical findings, and limitations.</w:t>
      </w:r>
    </w:p>
    <w:p>
      <w:pPr>
        <w:spacing w:before="40" w:after="60"/>
      </w:pPr>
      <w:r>
        <w:rPr>
          <w:rFonts w:ascii="Calibri" w:hAnsi="Calibri"/>
          <w:b/>
          <w:color w:val="1F4E79"/>
          <w:sz w:val="20"/>
        </w:rPr>
        <w:t xml:space="preserve">• Phase 7: Cross-Paper Knowledge Synthesis: </w:t>
      </w:r>
      <w:r>
        <w:rPr>
          <w:rFonts w:ascii="Calibri" w:hAnsi="Calibri"/>
          <w:sz w:val="20"/>
        </w:rPr>
        <w:t>SynthesizerAgent analyzes multi-document patterns, grouping shared themes, methodological contrasts, and chronological developments.</w:t>
      </w:r>
    </w:p>
    <w:p>
      <w:pPr>
        <w:spacing w:before="40" w:after="60"/>
      </w:pPr>
      <w:r>
        <w:rPr>
          <w:rFonts w:ascii="Calibri" w:hAnsi="Calibri"/>
          <w:b/>
          <w:color w:val="1F4E79"/>
          <w:sz w:val="20"/>
        </w:rPr>
        <w:t xml:space="preserve">• Phase 8: Research Gap Identification: </w:t>
      </w:r>
      <w:r>
        <w:rPr>
          <w:rFonts w:ascii="Calibri" w:hAnsi="Calibri"/>
          <w:sz w:val="20"/>
        </w:rPr>
        <w:t>GapFinderAgent isolates unexplored problem domains, conflicting experimental results, and unaddressed benchmark limitations.</w:t>
      </w:r>
    </w:p>
    <w:p>
      <w:pPr>
        <w:spacing w:before="40" w:after="60"/>
      </w:pPr>
      <w:r>
        <w:rPr>
          <w:rFonts w:ascii="Calibri" w:hAnsi="Calibri"/>
          <w:b/>
          <w:color w:val="1F4E79"/>
          <w:sz w:val="20"/>
        </w:rPr>
        <w:t xml:space="preserve">• Phase 9: Novel Idea Generation: </w:t>
      </w:r>
      <w:r>
        <w:rPr>
          <w:rFonts w:ascii="Calibri" w:hAnsi="Calibri"/>
          <w:sz w:val="20"/>
        </w:rPr>
        <w:t>IdeaGeneratorAgent constructs 3-5 distinct project proposals with mathematical formulations, hypotheses, and empirical validation schemes.</w:t>
      </w:r>
    </w:p>
    <w:p>
      <w:pPr>
        <w:spacing w:before="40" w:after="60"/>
      </w:pPr>
      <w:r>
        <w:rPr>
          <w:rFonts w:ascii="Calibri" w:hAnsi="Calibri"/>
          <w:b/>
          <w:color w:val="1F4E79"/>
          <w:sz w:val="20"/>
        </w:rPr>
        <w:t xml:space="preserve">• Phase 10: Alternative Technique Mapping: </w:t>
      </w:r>
      <w:r>
        <w:rPr>
          <w:rFonts w:ascii="Calibri" w:hAnsi="Calibri"/>
          <w:sz w:val="20"/>
        </w:rPr>
        <w:t>TechniqueAgent maps out baseline architectures, public datasets (Hugging Face / Kaggle), loss functions, and evaluation metrics.</w:t>
      </w:r>
    </w:p>
    <w:p>
      <w:pPr>
        <w:spacing w:before="40" w:after="60"/>
      </w:pPr>
      <w:r>
        <w:rPr>
          <w:rFonts w:ascii="Calibri" w:hAnsi="Calibri"/>
          <w:b/>
          <w:color w:val="1F4E79"/>
          <w:sz w:val="20"/>
        </w:rPr>
        <w:t xml:space="preserve">• Phase 11: Engineering Guidance &amp; Roadmapping: </w:t>
      </w:r>
      <w:r>
        <w:rPr>
          <w:rFonts w:ascii="Calibri" w:hAnsi="Calibri"/>
          <w:sz w:val="20"/>
        </w:rPr>
        <w:t>GuidanceAgent computes difficulty ratings, required engineering proficiencies, compute resources (GPUs/TPUs), and project milestones.</w:t>
      </w:r>
    </w:p>
    <w:p>
      <w:pPr>
        <w:spacing w:before="40" w:after="60"/>
      </w:pPr>
      <w:r>
        <w:rPr>
          <w:rFonts w:ascii="Calibri" w:hAnsi="Calibri"/>
          <w:b/>
          <w:color w:val="1F4E79"/>
          <w:sz w:val="20"/>
        </w:rPr>
        <w:t xml:space="preserve">• Phase 12: Answer Verification &amp; Result Rendering: </w:t>
      </w:r>
      <w:r>
        <w:rPr>
          <w:rFonts w:ascii="Calibri" w:hAnsi="Calibri"/>
          <w:sz w:val="20"/>
        </w:rPr>
        <w:t>AnswerVerifier executes hallucination audit against source papers. Results are persisted to SQLite database and rendered on the Next.js UI.</w:t>
      </w:r>
    </w:p>
    <w:p>
      <w:pPr>
        <w:pStyle w:val="Heading1"/>
      </w:pPr>
      <w:r>
        <w:rPr>
          <w:rFonts w:ascii="Arial" w:hAnsi="Arial"/>
          <w:color w:val="1F4E79"/>
          <w:sz w:val="32"/>
        </w:rPr>
        <w:t>6. Deep Dive into Core Technologies</w:t>
      </w:r>
    </w:p>
    <w:p>
      <w:pPr>
        <w:pStyle w:val="Heading2"/>
      </w:pPr>
      <w:r>
        <w:t>6.1 Vector RAG (Retrieval-Augmented Generation) Architecture</w:t>
      </w:r>
    </w:p>
    <w:p>
      <w:r>
        <w:t>ReAssist integrates a full vector retrieval subsystem for proprietary or local research documents:</w:t>
        <w:br/>
        <w:t>• Document Chunking (document_processor.py): Utilizes RecursiveCharacterTextSplitter with chunk_size=1000 and chunk_overlap=150, preserving semantic context across boundaries.</w:t>
        <w:br/>
        <w:t>• Embedding Engine (embeddings.py): Pluggable vector embeddings supporting OpenAI text-embedding-ada-002, AWS Bedrock Amazon Titan v2, local Ollama nomic-embed-text, and Hugging Face BAAI/bge-large-en-v1.5.</w:t>
        <w:br/>
        <w:t>• Vector Storage (retriever.py): Built on ChromaDB persistent client, utilizing HNSW indexing with Cosine distance. Workspace collections (ws_{workspace_id}) provide secure tenant isolation.</w:t>
        <w:br/>
        <w:t>• Corrective RAG (CRAG): In contrast to naive RAG systems that blindly accept retrieved chunks, ReAssist grades retrieved vector chunks for query relevance and dynamically rewrites queries if similarity scores are low.</w:t>
      </w:r>
    </w:p>
    <w:p>
      <w:pPr>
        <w:pStyle w:val="Heading2"/>
      </w:pPr>
      <w:r>
        <w:t>6.2 LangGraph Orchestration State Machine</w:t>
      </w:r>
    </w:p>
    <w:p>
      <w:r>
        <w:t>The pipeline is constructed as a LangGraph StateGraph compiled with a strongly typed state dictionary (PipelineState). This facilitates dynamic cyclic edges, checkpointing, and conditional routing without messy imperative loops.</w:t>
      </w:r>
    </w:p>
    <w:p>
      <w:pPr>
        <w:pStyle w:val="Heading2"/>
      </w:pPr>
      <w:r>
        <w:t>6.3 Full-Stack Architecture</w:t>
      </w:r>
    </w:p>
    <w:p>
      <w:r>
        <w:t>• Backend: FastAPI with asynchronous non-blocking job workers, SQLAlchemy ORM, and SQLite configured with Write-Ahead Logging (WAL) for high concurrency without lock contention.</w:t>
        <w:br/>
        <w:t>• Frontend: Next.js 15 (React 19) with TailwindCSS, Lucide icons, responsive glassmorphic cards, and real-time polling hooks. Contains dedicated views for Discovery, Concept Generation (Ideation), Implementation Roadmapping, and Evaluation Sandboxes.</w:t>
      </w:r>
    </w:p>
    <w:p>
      <w:pPr>
        <w:pStyle w:val="Heading1"/>
      </w:pPr>
      <w:r>
        <w:rPr>
          <w:rFonts w:ascii="Arial" w:hAnsi="Arial"/>
          <w:color w:val="1F4E79"/>
          <w:sz w:val="32"/>
        </w:rPr>
        <w:t>7. Project Defense &amp; Viva Voce Q&amp;A Cheat Sheet</w:t>
      </w:r>
    </w:p>
    <w:p>
      <w:pPr>
        <w:spacing w:before="80" w:after="40"/>
      </w:pPr>
      <w:r>
        <w:rPr>
          <w:rFonts w:ascii="Calibri" w:hAnsi="Calibri"/>
          <w:b/>
          <w:color w:val="1F4E79"/>
          <w:sz w:val="21"/>
        </w:rPr>
        <w:t>Q1: Why not just use ChatGPT or Claude directly with a single prompt?</w:t>
      </w:r>
    </w:p>
    <w:p>
      <w:pPr>
        <w:spacing w:before="0" w:after="120"/>
      </w:pPr>
      <w:r>
        <w:rPr>
          <w:rFonts w:ascii="Calibri" w:hAnsi="Calibri"/>
          <w:sz w:val="20"/>
        </w:rPr>
        <w:t>A1: Monolithic prompts suffer from attention dilution ('Lost in the Middle') when reading multiple long papers. They produce vague, generic summaries. By decomposing the workflow into 7 focused agents, ReAssist achieves +56% higher specificity in hypotheses and +112% higher actionability in implementation details.</w:t>
      </w:r>
    </w:p>
    <w:p>
      <w:pPr>
        <w:spacing w:before="80" w:after="40"/>
      </w:pPr>
      <w:r>
        <w:rPr>
          <w:rFonts w:ascii="Calibri" w:hAnsi="Calibri"/>
          <w:b/>
          <w:color w:val="1F4E79"/>
          <w:sz w:val="21"/>
        </w:rPr>
        <w:t>Q2: Multi-agent systems are slow and expensive. How do you justify this in production?</w:t>
      </w:r>
    </w:p>
    <w:p>
      <w:pPr>
        <w:spacing w:before="0" w:after="120"/>
      </w:pPr>
      <w:r>
        <w:rPr>
          <w:rFonts w:ascii="Calibri" w:hAnsi="Calibri"/>
          <w:sz w:val="20"/>
        </w:rPr>
        <w:t>A2: That is exactly why we built the AgenticOps Router. We do NOT run the multi-agent system for every query. Simple queries are automatically routed to a single-shot CoT baseline (9s, $0.0015). The multi-agent pipeline is reserved for complex, novel queries, delivering an overall 75% cost reduction across realistic query mixes.</w:t>
      </w:r>
    </w:p>
    <w:p>
      <w:pPr>
        <w:spacing w:before="80" w:after="40"/>
      </w:pPr>
      <w:r>
        <w:rPr>
          <w:rFonts w:ascii="Calibri" w:hAnsi="Calibri"/>
          <w:b/>
          <w:color w:val="1F4E79"/>
          <w:sz w:val="21"/>
        </w:rPr>
        <w:t>Q3: How do you prevent hallucination propagation across cascading agents?</w:t>
      </w:r>
    </w:p>
    <w:p>
      <w:pPr>
        <w:spacing w:before="0" w:after="120"/>
      </w:pPr>
      <w:r>
        <w:rPr>
          <w:rFonts w:ascii="Calibri" w:hAnsi="Calibri"/>
          <w:sz w:val="20"/>
        </w:rPr>
        <w:t>A3: We apply two independent guardrails: (1) RelevanceGrader filters out irrelevant papers before synthesis begins, and (2) AnswerVerifier audits the final synthesis against source abstracts at temperature=0.0, explicitly flagging unbacked claims.</w:t>
      </w:r>
    </w:p>
    <w:p>
      <w:pPr>
        <w:spacing w:before="80" w:after="40"/>
      </w:pPr>
      <w:r>
        <w:rPr>
          <w:rFonts w:ascii="Calibri" w:hAnsi="Calibri"/>
          <w:b/>
          <w:color w:val="1F4E79"/>
          <w:sz w:val="21"/>
        </w:rPr>
        <w:t>Q4: Why LangGraph instead of simple LangChain or AutoGen/CrewAI?</w:t>
      </w:r>
    </w:p>
    <w:p>
      <w:pPr>
        <w:spacing w:before="0" w:after="120"/>
      </w:pPr>
      <w:r>
        <w:rPr>
          <w:rFonts w:ascii="Calibri" w:hAnsi="Calibri"/>
          <w:sz w:val="20"/>
        </w:rPr>
        <w:t>A4: AutoGen and CrewAI rely on open-ended conversational agent loops that are non-deterministic, difficult to debug, and token-inefficient. LangGraph provides a declarative, typed state machine where transitions, conditional loops (like CRAG), and error recovery are strictly defined and auditable.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