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55D70263" w:rsidR="008834D9" w:rsidRPr="00AB17BD" w:rsidRDefault="008834D9" w:rsidP="008834D9">
      <w:pPr>
        <w:ind w:firstLineChars="200" w:firstLine="482"/>
        <w:rPr>
          <w:rFonts w:ascii="Courier New" w:hAnsi="Courier New"/>
          <w:b/>
          <w:sz w:val="24"/>
          <w:szCs w:val="24"/>
        </w:rPr>
      </w:pPr>
      <w:r w:rsidRPr="00AB17BD">
        <w:rPr>
          <w:rFonts w:ascii="Courier New" w:hAnsi="Courier New" w:hint="eastAsia"/>
          <w:b/>
          <w:sz w:val="24"/>
          <w:szCs w:val="24"/>
        </w:rPr>
        <w:t>3.</w:t>
      </w:r>
      <w:r w:rsidRPr="00AB17BD">
        <w:rPr>
          <w:rFonts w:ascii="Courier New" w:hAnsi="Courier New"/>
          <w:b/>
          <w:sz w:val="24"/>
          <w:szCs w:val="24"/>
        </w:rPr>
        <w:t>3</w:t>
      </w:r>
      <w:r w:rsidRPr="00AB17BD">
        <w:rPr>
          <w:rFonts w:ascii="Courier New" w:hAnsi="Courier New" w:hint="eastAsia"/>
          <w:b/>
          <w:sz w:val="24"/>
          <w:szCs w:val="24"/>
        </w:rPr>
        <w:t>.</w:t>
      </w:r>
      <w:r w:rsidRPr="00AB17BD">
        <w:rPr>
          <w:rFonts w:ascii="Courier New" w:hAnsi="Courier New"/>
          <w:b/>
          <w:sz w:val="24"/>
          <w:szCs w:val="24"/>
        </w:rPr>
        <w:t xml:space="preserve">3 </w:t>
      </w:r>
      <w:r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6E5B16D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具体说来三条轨线的计算方法为：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084BD806" w:rsidR="005217A1" w:rsidRDefault="005217A1" w:rsidP="00FB44F4">
      <w:pPr>
        <w:ind w:firstLineChars="200" w:firstLine="480"/>
        <w:rPr>
          <w:rFonts w:ascii="Courier New" w:hAnsi="Courier New" w:hint="eastAsia"/>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bookmarkStart w:id="0" w:name="_GoBack"/>
      <w:bookmarkEnd w:id="0"/>
    </w:p>
    <w:p w14:paraId="43EC4AA7" w14:textId="77777777" w:rsidR="008834D9" w:rsidRPr="000614B6" w:rsidRDefault="008834D9"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4996D" w14:textId="77777777" w:rsidR="007C14D1" w:rsidRDefault="007C14D1" w:rsidP="006421B9">
      <w:r>
        <w:separator/>
      </w:r>
    </w:p>
  </w:endnote>
  <w:endnote w:type="continuationSeparator" w:id="0">
    <w:p w14:paraId="1C0A7537" w14:textId="77777777" w:rsidR="007C14D1" w:rsidRDefault="007C14D1"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2542F" w14:textId="77777777" w:rsidR="007C14D1" w:rsidRDefault="007C14D1" w:rsidP="006421B9">
      <w:r>
        <w:separator/>
      </w:r>
    </w:p>
  </w:footnote>
  <w:footnote w:type="continuationSeparator" w:id="0">
    <w:p w14:paraId="777A56D1" w14:textId="77777777" w:rsidR="007C14D1" w:rsidRDefault="007C14D1"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6E0F"/>
    <w:rsid w:val="00164E88"/>
    <w:rsid w:val="00176181"/>
    <w:rsid w:val="00187143"/>
    <w:rsid w:val="0019288E"/>
    <w:rsid w:val="001964CA"/>
    <w:rsid w:val="001B71B4"/>
    <w:rsid w:val="001D094F"/>
    <w:rsid w:val="001D222F"/>
    <w:rsid w:val="001D6C5C"/>
    <w:rsid w:val="001F6B8F"/>
    <w:rsid w:val="001F7204"/>
    <w:rsid w:val="0020059D"/>
    <w:rsid w:val="00200DBD"/>
    <w:rsid w:val="002026AE"/>
    <w:rsid w:val="002317EB"/>
    <w:rsid w:val="00235673"/>
    <w:rsid w:val="002359EA"/>
    <w:rsid w:val="00264400"/>
    <w:rsid w:val="00274D9E"/>
    <w:rsid w:val="00275C78"/>
    <w:rsid w:val="00276B4C"/>
    <w:rsid w:val="00280A26"/>
    <w:rsid w:val="00290047"/>
    <w:rsid w:val="002A2D1D"/>
    <w:rsid w:val="002A391F"/>
    <w:rsid w:val="002A3F5C"/>
    <w:rsid w:val="002A6C6D"/>
    <w:rsid w:val="002B0ED4"/>
    <w:rsid w:val="002B4BD7"/>
    <w:rsid w:val="002C02A3"/>
    <w:rsid w:val="002C4497"/>
    <w:rsid w:val="002D720E"/>
    <w:rsid w:val="002E3DDC"/>
    <w:rsid w:val="002E4AA3"/>
    <w:rsid w:val="002E4CC7"/>
    <w:rsid w:val="002F1E7F"/>
    <w:rsid w:val="00300F70"/>
    <w:rsid w:val="00301F51"/>
    <w:rsid w:val="00310AEC"/>
    <w:rsid w:val="0031248E"/>
    <w:rsid w:val="003206D9"/>
    <w:rsid w:val="0034028A"/>
    <w:rsid w:val="00342F2F"/>
    <w:rsid w:val="00377D43"/>
    <w:rsid w:val="00385BC5"/>
    <w:rsid w:val="003908F6"/>
    <w:rsid w:val="003A16D5"/>
    <w:rsid w:val="003C108C"/>
    <w:rsid w:val="003C41E8"/>
    <w:rsid w:val="003D49D3"/>
    <w:rsid w:val="003D5E57"/>
    <w:rsid w:val="003D6469"/>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61F3"/>
    <w:rsid w:val="00497647"/>
    <w:rsid w:val="004A410E"/>
    <w:rsid w:val="004A550F"/>
    <w:rsid w:val="004C3EC8"/>
    <w:rsid w:val="004D3A95"/>
    <w:rsid w:val="004E655B"/>
    <w:rsid w:val="004F5F5D"/>
    <w:rsid w:val="0050051B"/>
    <w:rsid w:val="005023B5"/>
    <w:rsid w:val="00513BD1"/>
    <w:rsid w:val="00517686"/>
    <w:rsid w:val="005217A1"/>
    <w:rsid w:val="005219E2"/>
    <w:rsid w:val="005244E5"/>
    <w:rsid w:val="0052503B"/>
    <w:rsid w:val="0052525F"/>
    <w:rsid w:val="005361FB"/>
    <w:rsid w:val="00541F75"/>
    <w:rsid w:val="005478D0"/>
    <w:rsid w:val="005526C8"/>
    <w:rsid w:val="00560426"/>
    <w:rsid w:val="0057299F"/>
    <w:rsid w:val="00573BD8"/>
    <w:rsid w:val="00581B72"/>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2838"/>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14D1"/>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787E"/>
    <w:rsid w:val="0087346F"/>
    <w:rsid w:val="008834D9"/>
    <w:rsid w:val="0088504B"/>
    <w:rsid w:val="00887C77"/>
    <w:rsid w:val="00894B55"/>
    <w:rsid w:val="008A0341"/>
    <w:rsid w:val="008A4FCC"/>
    <w:rsid w:val="008A5D3F"/>
    <w:rsid w:val="008C2351"/>
    <w:rsid w:val="008C49A6"/>
    <w:rsid w:val="008C64BD"/>
    <w:rsid w:val="008E6E70"/>
    <w:rsid w:val="00902266"/>
    <w:rsid w:val="00937F8F"/>
    <w:rsid w:val="00943DFF"/>
    <w:rsid w:val="0094717D"/>
    <w:rsid w:val="00947AFA"/>
    <w:rsid w:val="0095566B"/>
    <w:rsid w:val="00956202"/>
    <w:rsid w:val="00974AA9"/>
    <w:rsid w:val="00977F6C"/>
    <w:rsid w:val="009942DA"/>
    <w:rsid w:val="009B4535"/>
    <w:rsid w:val="009C630F"/>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349C"/>
    <w:rsid w:val="00AD4A6F"/>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528A8"/>
    <w:rsid w:val="00B5499F"/>
    <w:rsid w:val="00B75BA3"/>
    <w:rsid w:val="00B86675"/>
    <w:rsid w:val="00B9043A"/>
    <w:rsid w:val="00B953AE"/>
    <w:rsid w:val="00BB66C2"/>
    <w:rsid w:val="00BC52A8"/>
    <w:rsid w:val="00BE226E"/>
    <w:rsid w:val="00BE22F2"/>
    <w:rsid w:val="00BF3756"/>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AC5"/>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497D"/>
    <w:rsid w:val="00E8335C"/>
    <w:rsid w:val="00E8571D"/>
    <w:rsid w:val="00E87D87"/>
    <w:rsid w:val="00E9064D"/>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37F0A"/>
    <w:rsid w:val="00F402AD"/>
    <w:rsid w:val="00F6415B"/>
    <w:rsid w:val="00F82859"/>
    <w:rsid w:val="00F82AB0"/>
    <w:rsid w:val="00FA6480"/>
    <w:rsid w:val="00FB3CA5"/>
    <w:rsid w:val="00FB44F4"/>
    <w:rsid w:val="00FB495B"/>
    <w:rsid w:val="00FB7F03"/>
    <w:rsid w:val="00FC265E"/>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2239</TotalTime>
  <Pages>15</Pages>
  <Words>1724</Words>
  <Characters>9827</Characters>
  <Application>Microsoft Office Word</Application>
  <DocSecurity>0</DocSecurity>
  <Lines>81</Lines>
  <Paragraphs>23</Paragraphs>
  <ScaleCrop>false</ScaleCrop>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92</cp:revision>
  <dcterms:created xsi:type="dcterms:W3CDTF">2019-05-11T08:25:00Z</dcterms:created>
  <dcterms:modified xsi:type="dcterms:W3CDTF">2019-05-31T13:16:00Z</dcterms:modified>
</cp:coreProperties>
</file>