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E8B6" w14:textId="77E7740D" w:rsidR="00837450" w:rsidRPr="00CD6F91" w:rsidRDefault="000802E8">
      <w:pPr>
        <w:pStyle w:val="Title"/>
        <w:rPr>
          <w:color w:val="auto"/>
        </w:rPr>
      </w:pPr>
      <w:r w:rsidRPr="00CD6F91">
        <w:rPr>
          <w:color w:val="auto"/>
        </w:rPr>
        <w:t>Determining</w:t>
      </w:r>
      <w:r w:rsidR="00E9318E">
        <w:rPr>
          <w:color w:val="auto"/>
        </w:rPr>
        <w:t xml:space="preserve"> </w:t>
      </w:r>
      <w:r w:rsidRPr="00CD6F91">
        <w:rPr>
          <w:color w:val="auto"/>
        </w:rPr>
        <w:t>Species</w:t>
      </w:r>
      <w:r w:rsidR="00E9318E">
        <w:rPr>
          <w:color w:val="auto"/>
        </w:rPr>
        <w:t xml:space="preserve"> </w:t>
      </w:r>
      <w:r w:rsidRPr="00CD6F91">
        <w:rPr>
          <w:color w:val="auto"/>
        </w:rPr>
        <w:t>Grouping</w:t>
      </w:r>
    </w:p>
    <w:p w14:paraId="69EC5C0A" w14:textId="77777777" w:rsidR="00837450" w:rsidRPr="00CD6F91" w:rsidRDefault="000802E8">
      <w:pPr>
        <w:pStyle w:val="Author"/>
      </w:pPr>
      <w:r w:rsidRPr="00CD6F91">
        <w:t>Ashlee Mikkelsen</w:t>
      </w:r>
    </w:p>
    <w:p w14:paraId="2B93E83D" w14:textId="77777777" w:rsidR="00837450" w:rsidRPr="00CD6F91" w:rsidRDefault="000802E8">
      <w:pPr>
        <w:pStyle w:val="Date"/>
      </w:pPr>
      <w:r w:rsidRPr="00CD6F91">
        <w:t>2022-03-21</w:t>
      </w:r>
    </w:p>
    <w:p w14:paraId="6441489F" w14:textId="77777777" w:rsidR="00837450" w:rsidRPr="00CD6F91" w:rsidRDefault="000802E8">
      <w:pPr>
        <w:pStyle w:val="Heading1"/>
        <w:rPr>
          <w:color w:val="auto"/>
        </w:rPr>
      </w:pPr>
      <w:bookmarkStart w:id="0" w:name="X72cd0484881321b68e8cc1d89b63e5e5064536b"/>
      <w:r w:rsidRPr="00CD6F91">
        <w:rPr>
          <w:color w:val="auto"/>
        </w:rPr>
        <w:t>This analysis will look at the five food sources within the Swedish brown bear diet and determine if any diet sources need to be grouped based on isotopic and ecological similarities.</w:t>
      </w:r>
    </w:p>
    <w:p w14:paraId="3D106480" w14:textId="1A7D0EED" w:rsidR="00837450" w:rsidRPr="00CD6F91" w:rsidRDefault="000802E8">
      <w:pPr>
        <w:pStyle w:val="Heading2"/>
        <w:rPr>
          <w:rFonts w:ascii="Times New Roman" w:hAnsi="Times New Roman" w:cs="Times New Roman"/>
          <w:b w:val="0"/>
          <w:bCs w:val="0"/>
          <w:color w:val="auto"/>
          <w:sz w:val="24"/>
          <w:szCs w:val="24"/>
        </w:rPr>
      </w:pPr>
      <w:bookmarkStart w:id="1" w:name="Xd528671134f2311c4398263e312c31c346e5801"/>
      <w:r w:rsidRPr="00CD6F91">
        <w:rPr>
          <w:rFonts w:ascii="Times New Roman" w:hAnsi="Times New Roman" w:cs="Times New Roman"/>
          <w:b w:val="0"/>
          <w:bCs w:val="0"/>
          <w:color w:val="auto"/>
          <w:sz w:val="24"/>
          <w:szCs w:val="24"/>
        </w:rPr>
        <w:t>In this model I am determining whether my food sources are isotopically distinct enough or if any need to be combined. Note that bear diets consist of two different ant species that were combined a priori. Prior to running the model, we plot the data with the TDFs to ensure they are within the mixing polygons. TDFs were calculated using a bear-specific linear regression determined by controlled feeding experiments.</w:t>
      </w:r>
    </w:p>
    <w:p w14:paraId="617BD3E9" w14:textId="4796FE8D" w:rsidR="00837450" w:rsidRDefault="000802E8">
      <w:pPr>
        <w:pStyle w:val="FirstParagraph"/>
      </w:pPr>
      <w:r>
        <w:rPr>
          <w:noProof/>
        </w:rPr>
        <w:drawing>
          <wp:inline distT="0" distB="0" distL="0" distR="0" wp14:anchorId="276D2AB7" wp14:editId="619C5061">
            <wp:extent cx="5153025" cy="42005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eterminingSpeciesGrouping_files/figure-docx/unnamed-chunk-3-1.png"/>
                    <pic:cNvPicPr>
                      <a:picLocks noChangeAspect="1" noChangeArrowheads="1"/>
                    </pic:cNvPicPr>
                  </pic:nvPicPr>
                  <pic:blipFill>
                    <a:blip r:embed="rId7"/>
                    <a:stretch>
                      <a:fillRect/>
                    </a:stretch>
                  </pic:blipFill>
                  <pic:spPr bwMode="auto">
                    <a:xfrm>
                      <a:off x="0" y="0"/>
                      <a:ext cx="5153590" cy="4200986"/>
                    </a:xfrm>
                    <a:prstGeom prst="rect">
                      <a:avLst/>
                    </a:prstGeom>
                    <a:noFill/>
                    <a:ln w="9525">
                      <a:noFill/>
                      <a:headEnd/>
                      <a:tailEnd/>
                    </a:ln>
                  </pic:spPr>
                </pic:pic>
              </a:graphicData>
            </a:graphic>
          </wp:inline>
        </w:drawing>
      </w:r>
    </w:p>
    <w:p w14:paraId="06B04F9A" w14:textId="3D105457" w:rsidR="00211716" w:rsidRPr="00211716" w:rsidRDefault="00211716" w:rsidP="00211716">
      <w:pPr>
        <w:pStyle w:val="BodyText"/>
        <w:rPr>
          <w:sz w:val="22"/>
          <w:szCs w:val="22"/>
        </w:rPr>
      </w:pPr>
      <w:r w:rsidRPr="00211716">
        <w:rPr>
          <w:sz w:val="22"/>
          <w:szCs w:val="22"/>
        </w:rPr>
        <w:t>Figure 1. Mixing space plot for brown bears in Sweden. Points represent the mean isotopic signature of a food source and vertical and horizontal bares represent the 95% confidence intervals. The isotopic signatures of our mixtures (brown bear) are represented by purple dots</w:t>
      </w:r>
    </w:p>
    <w:p w14:paraId="1B5FA72C" w14:textId="309DF4B5" w:rsidR="00837450" w:rsidRDefault="000802E8">
      <w:pPr>
        <w:pStyle w:val="Heading2"/>
        <w:rPr>
          <w:rFonts w:ascii="Times New Roman" w:hAnsi="Times New Roman" w:cs="Times New Roman"/>
          <w:b w:val="0"/>
          <w:bCs w:val="0"/>
          <w:color w:val="auto"/>
          <w:sz w:val="24"/>
          <w:szCs w:val="24"/>
        </w:rPr>
      </w:pPr>
      <w:bookmarkStart w:id="2" w:name="X773aaddd66a87002e3f717875126c91da0a32a9"/>
      <w:bookmarkEnd w:id="1"/>
      <w:r w:rsidRPr="00CD6F91">
        <w:rPr>
          <w:rFonts w:asciiTheme="minorHAnsi" w:hAnsiTheme="minorHAnsi"/>
          <w:b w:val="0"/>
          <w:bCs w:val="0"/>
          <w:color w:val="auto"/>
          <w:sz w:val="24"/>
          <w:szCs w:val="24"/>
        </w:rPr>
        <w:lastRenderedPageBreak/>
        <w:t>Now that we have determined that our data does fall within our mixing space, we will run our model</w:t>
      </w:r>
      <w:bookmarkStart w:id="3" w:name="Xecce1491dc58b0811f51af16e8bb89ea9d9b531"/>
      <w:bookmarkEnd w:id="2"/>
      <w:r w:rsidR="00CD6F91">
        <w:rPr>
          <w:rFonts w:asciiTheme="minorHAnsi" w:hAnsiTheme="minorHAnsi"/>
          <w:b w:val="0"/>
          <w:bCs w:val="0"/>
          <w:color w:val="auto"/>
          <w:sz w:val="24"/>
          <w:szCs w:val="24"/>
        </w:rPr>
        <w:t xml:space="preserve"> and </w:t>
      </w:r>
      <w:r w:rsidRPr="00CD6F91">
        <w:rPr>
          <w:rFonts w:ascii="Times New Roman" w:hAnsi="Times New Roman" w:cs="Times New Roman"/>
          <w:b w:val="0"/>
          <w:bCs w:val="0"/>
          <w:color w:val="auto"/>
          <w:sz w:val="24"/>
          <w:szCs w:val="24"/>
        </w:rPr>
        <w:t>look at the diagnostic of the model to determine convergence and the diet estimates</w:t>
      </w:r>
    </w:p>
    <w:p w14:paraId="36C18398" w14:textId="77777777" w:rsidR="00CD6F91" w:rsidRPr="00CD6F91" w:rsidRDefault="00CD6F91" w:rsidP="00CD6F91">
      <w:pPr>
        <w:pStyle w:val="BodyText"/>
      </w:pPr>
    </w:p>
    <w:p w14:paraId="3F9D073F" w14:textId="77777777" w:rsidR="00837450" w:rsidRPr="00605B04" w:rsidRDefault="000802E8">
      <w:pPr>
        <w:pStyle w:val="SourceCode"/>
        <w:rPr>
          <w:color w:val="4F81BD" w:themeColor="accent1"/>
        </w:rPr>
      </w:pPr>
      <w:r w:rsidRPr="00605B04">
        <w:rPr>
          <w:rStyle w:val="FunctionTok"/>
          <w:color w:val="4F81BD" w:themeColor="accent1"/>
        </w:rPr>
        <w:t>summary</w:t>
      </w:r>
      <w:r w:rsidRPr="00605B04">
        <w:rPr>
          <w:rStyle w:val="NormalTok"/>
          <w:color w:val="4F81BD" w:themeColor="accent1"/>
        </w:rPr>
        <w:t xml:space="preserve">(bearsimmr_species1_out, </w:t>
      </w:r>
      <w:r w:rsidRPr="00605B04">
        <w:rPr>
          <w:rStyle w:val="AttributeTok"/>
          <w:color w:val="4F81BD" w:themeColor="accent1"/>
        </w:rPr>
        <w:t>type =</w:t>
      </w:r>
      <w:r w:rsidRPr="00605B04">
        <w:rPr>
          <w:rStyle w:val="NormalTok"/>
          <w:color w:val="4F81BD" w:themeColor="accent1"/>
        </w:rPr>
        <w:t xml:space="preserve"> </w:t>
      </w:r>
      <w:r w:rsidRPr="00605B04">
        <w:rPr>
          <w:rStyle w:val="StringTok"/>
          <w:color w:val="4F81BD" w:themeColor="accent1"/>
        </w:rPr>
        <w:t>"diagnostics"</w:t>
      </w:r>
      <w:r w:rsidRPr="00605B04">
        <w:rPr>
          <w:rStyle w:val="NormalTok"/>
          <w:color w:val="4F81BD" w:themeColor="accent1"/>
        </w:rPr>
        <w:t>)</w:t>
      </w:r>
    </w:p>
    <w:p w14:paraId="062BC193" w14:textId="77777777" w:rsidR="00837450" w:rsidRDefault="000802E8">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1           1</w:t>
      </w:r>
    </w:p>
    <w:p w14:paraId="57ADD508" w14:textId="77777777" w:rsidR="00837450" w:rsidRPr="00605B04" w:rsidRDefault="000802E8">
      <w:pPr>
        <w:pStyle w:val="SourceCode"/>
        <w:rPr>
          <w:color w:val="4F81BD" w:themeColor="accent1"/>
        </w:rPr>
      </w:pPr>
      <w:r w:rsidRPr="00E9318E">
        <w:rPr>
          <w:rStyle w:val="CommentTok"/>
          <w:color w:val="auto"/>
        </w:rPr>
        <w:t># Gelman diagnostics are all equal to one, indicating that our model has converged</w:t>
      </w:r>
      <w:r>
        <w:br/>
      </w:r>
      <w:r>
        <w:br/>
      </w:r>
      <w:r w:rsidRPr="00605B04">
        <w:rPr>
          <w:rStyle w:val="FunctionTok"/>
          <w:color w:val="4F81BD" w:themeColor="accent1"/>
        </w:rPr>
        <w:t>summary</w:t>
      </w:r>
      <w:r w:rsidRPr="00605B04">
        <w:rPr>
          <w:rStyle w:val="NormalTok"/>
          <w:color w:val="4F81BD" w:themeColor="accent1"/>
        </w:rPr>
        <w:t xml:space="preserve">(bearsimmr_species1_out, </w:t>
      </w:r>
      <w:r w:rsidRPr="00605B04">
        <w:rPr>
          <w:rStyle w:val="AttributeTok"/>
          <w:color w:val="4F81BD" w:themeColor="accent1"/>
        </w:rPr>
        <w:t>type=</w:t>
      </w:r>
      <w:r w:rsidRPr="00605B04">
        <w:rPr>
          <w:rStyle w:val="StringTok"/>
          <w:color w:val="4F81BD" w:themeColor="accent1"/>
        </w:rPr>
        <w:t>"statistics"</w:t>
      </w:r>
      <w:r w:rsidRPr="00605B04">
        <w:rPr>
          <w:rStyle w:val="NormalTok"/>
          <w:color w:val="4F81BD" w:themeColor="accent1"/>
        </w:rPr>
        <w:t>)</w:t>
      </w:r>
    </w:p>
    <w:p w14:paraId="42D26953" w14:textId="77777777" w:rsidR="00837450" w:rsidRDefault="000802E8">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3409.825 3.523</w:t>
      </w:r>
      <w:r>
        <w:br/>
      </w:r>
      <w:r>
        <w:rPr>
          <w:rStyle w:val="VerbatimChar"/>
        </w:rPr>
        <w:t>## Ants           0.066 0.005</w:t>
      </w:r>
      <w:r>
        <w:br/>
      </w:r>
      <w:r>
        <w:rPr>
          <w:rStyle w:val="VerbatimChar"/>
        </w:rPr>
        <w:t>## Bilberry       0.473 0.013</w:t>
      </w:r>
      <w:r>
        <w:br/>
      </w:r>
      <w:r>
        <w:rPr>
          <w:rStyle w:val="VerbatimChar"/>
        </w:rPr>
        <w:t>## Crowberry      0.136 0.019</w:t>
      </w:r>
      <w:r>
        <w:br/>
      </w:r>
      <w:r>
        <w:rPr>
          <w:rStyle w:val="VerbatimChar"/>
        </w:rPr>
        <w:t>## Lingonberry    0.287 0.021</w:t>
      </w:r>
      <w:r>
        <w:br/>
      </w:r>
      <w:r>
        <w:rPr>
          <w:rStyle w:val="VerbatimChar"/>
        </w:rPr>
        <w:t>## Moose          0.038 0.003</w:t>
      </w:r>
      <w:r>
        <w:br/>
      </w:r>
      <w:r>
        <w:rPr>
          <w:rStyle w:val="VerbatimChar"/>
        </w:rPr>
        <w:t>## sd[d13C]       0.031 0.024</w:t>
      </w:r>
      <w:r>
        <w:br/>
      </w:r>
      <w:r>
        <w:rPr>
          <w:rStyle w:val="VerbatimChar"/>
        </w:rPr>
        <w:t>## sd[d15N]       0.039 0.030</w:t>
      </w:r>
    </w:p>
    <w:p w14:paraId="1D1F71B1" w14:textId="77777777" w:rsidR="00837450" w:rsidRDefault="000802E8">
      <w:pPr>
        <w:pStyle w:val="SourceCode"/>
      </w:pPr>
      <w:r w:rsidRPr="00E9318E">
        <w:rPr>
          <w:rStyle w:val="CommentTok"/>
          <w:color w:val="auto"/>
        </w:rPr>
        <w:t># Here we can see the model deviance as well as the mean estimates and standard deviations for each diet source and the residual variation in the model</w:t>
      </w:r>
      <w:r>
        <w:br/>
      </w:r>
      <w:r>
        <w:br/>
      </w:r>
      <w:r w:rsidRPr="00605B04">
        <w:rPr>
          <w:rStyle w:val="FunctionTok"/>
          <w:color w:val="4F81BD" w:themeColor="accent1"/>
        </w:rPr>
        <w:t>summary</w:t>
      </w:r>
      <w:r w:rsidRPr="00605B04">
        <w:rPr>
          <w:rStyle w:val="NormalTok"/>
          <w:color w:val="4F81BD" w:themeColor="accent1"/>
        </w:rPr>
        <w:t>(bearsimmr_species1_out,</w:t>
      </w:r>
      <w:r w:rsidRPr="00605B04">
        <w:rPr>
          <w:rStyle w:val="StringTok"/>
          <w:color w:val="4F81BD" w:themeColor="accent1"/>
        </w:rPr>
        <w:t>'quantiles'</w:t>
      </w:r>
      <w:r w:rsidRPr="00605B04">
        <w:rPr>
          <w:rStyle w:val="NormalTok"/>
          <w:color w:val="4F81BD" w:themeColor="accent1"/>
        </w:rPr>
        <w:t>)</w:t>
      </w:r>
    </w:p>
    <w:p w14:paraId="5A59534A" w14:textId="77777777" w:rsidR="00837450" w:rsidRDefault="000802E8">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3405.038 3407.249 3409.113 3411.731 3418.317</w:t>
      </w:r>
      <w:r>
        <w:br/>
      </w:r>
      <w:r>
        <w:rPr>
          <w:rStyle w:val="VerbatimChar"/>
        </w:rPr>
        <w:t>## Ants           0.057    0.063    0.066    0.069    0.076</w:t>
      </w:r>
      <w:r>
        <w:br/>
      </w:r>
      <w:r>
        <w:rPr>
          <w:rStyle w:val="VerbatimChar"/>
        </w:rPr>
        <w:t>## Bilberry       0.447    0.465    0.474    0.482    0.498</w:t>
      </w:r>
      <w:r>
        <w:br/>
      </w:r>
      <w:r>
        <w:rPr>
          <w:rStyle w:val="VerbatimChar"/>
        </w:rPr>
        <w:t>## Crowberry      0.100    0.123    0.136    0.149    0.173</w:t>
      </w:r>
      <w:r>
        <w:br/>
      </w:r>
      <w:r>
        <w:rPr>
          <w:rStyle w:val="VerbatimChar"/>
        </w:rPr>
        <w:t>## Lingonberry    0.246    0.272    0.286    0.301    0.327</w:t>
      </w:r>
      <w:r>
        <w:br/>
      </w:r>
      <w:r>
        <w:rPr>
          <w:rStyle w:val="VerbatimChar"/>
        </w:rPr>
        <w:t>## Moose          0.032    0.036    0.038    0.040    0.043</w:t>
      </w:r>
      <w:r>
        <w:br/>
      </w:r>
      <w:r>
        <w:rPr>
          <w:rStyle w:val="VerbatimChar"/>
        </w:rPr>
        <w:t>## sd[d13C]       0.001    0.013    0.026    0.045    0.088</w:t>
      </w:r>
      <w:r>
        <w:br/>
      </w:r>
      <w:r>
        <w:rPr>
          <w:rStyle w:val="VerbatimChar"/>
        </w:rPr>
        <w:t>## sd[d15N]       0.002    0.016    0.033    0.056    0.112</w:t>
      </w:r>
    </w:p>
    <w:p w14:paraId="2FDD1C5E" w14:textId="77777777" w:rsidR="00837450" w:rsidRPr="00605B04" w:rsidRDefault="000802E8">
      <w:pPr>
        <w:pStyle w:val="SourceCode"/>
        <w:rPr>
          <w:color w:val="4F81BD" w:themeColor="accent1"/>
        </w:rPr>
      </w:pPr>
      <w:r w:rsidRPr="00605B04">
        <w:rPr>
          <w:rStyle w:val="FunctionTok"/>
          <w:color w:val="4F81BD" w:themeColor="accent1"/>
        </w:rPr>
        <w:lastRenderedPageBreak/>
        <w:t>plot</w:t>
      </w:r>
      <w:r w:rsidRPr="00605B04">
        <w:rPr>
          <w:rStyle w:val="NormalTok"/>
          <w:color w:val="4F81BD" w:themeColor="accent1"/>
        </w:rPr>
        <w:t xml:space="preserve">(bearsimmr_species1_out, </w:t>
      </w:r>
      <w:r w:rsidRPr="00605B04">
        <w:rPr>
          <w:rStyle w:val="AttributeTok"/>
          <w:color w:val="4F81BD" w:themeColor="accent1"/>
        </w:rPr>
        <w:t>type =</w:t>
      </w:r>
      <w:r w:rsidRPr="00605B04">
        <w:rPr>
          <w:rStyle w:val="NormalTok"/>
          <w:color w:val="4F81BD" w:themeColor="accent1"/>
        </w:rPr>
        <w:t xml:space="preserve"> </w:t>
      </w:r>
      <w:r w:rsidRPr="00605B04">
        <w:rPr>
          <w:rStyle w:val="StringTok"/>
          <w:color w:val="4F81BD" w:themeColor="accent1"/>
        </w:rPr>
        <w:t>"density"</w:t>
      </w:r>
      <w:r w:rsidRPr="00605B04">
        <w:rPr>
          <w:rStyle w:val="NormalTok"/>
          <w:color w:val="4F81BD" w:themeColor="accent1"/>
        </w:rPr>
        <w:t>)</w:t>
      </w:r>
    </w:p>
    <w:p w14:paraId="50961DDC" w14:textId="77777777" w:rsidR="00837450" w:rsidRDefault="000802E8">
      <w:pPr>
        <w:pStyle w:val="FirstParagraph"/>
      </w:pPr>
      <w:r>
        <w:rPr>
          <w:noProof/>
        </w:rPr>
        <w:drawing>
          <wp:inline distT="0" distB="0" distL="0" distR="0" wp14:anchorId="53DF7A18" wp14:editId="467A5746">
            <wp:extent cx="6000750" cy="461962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eterminingSpeciesGrouping_files/figure-docx/unnamed-chunk-5-1.png"/>
                    <pic:cNvPicPr>
                      <a:picLocks noChangeAspect="1" noChangeArrowheads="1"/>
                    </pic:cNvPicPr>
                  </pic:nvPicPr>
                  <pic:blipFill>
                    <a:blip r:embed="rId8"/>
                    <a:stretch>
                      <a:fillRect/>
                    </a:stretch>
                  </pic:blipFill>
                  <pic:spPr bwMode="auto">
                    <a:xfrm>
                      <a:off x="0" y="0"/>
                      <a:ext cx="6001401" cy="4620126"/>
                    </a:xfrm>
                    <a:prstGeom prst="rect">
                      <a:avLst/>
                    </a:prstGeom>
                    <a:noFill/>
                    <a:ln w="9525">
                      <a:noFill/>
                      <a:headEnd/>
                      <a:tailEnd/>
                    </a:ln>
                  </pic:spPr>
                </pic:pic>
              </a:graphicData>
            </a:graphic>
          </wp:inline>
        </w:drawing>
      </w:r>
    </w:p>
    <w:p w14:paraId="2A04675A" w14:textId="326132A5" w:rsidR="00837450" w:rsidRPr="00E9318E" w:rsidRDefault="000802E8">
      <w:pPr>
        <w:pStyle w:val="SourceCode"/>
      </w:pPr>
      <w:r w:rsidRPr="00E9318E">
        <w:rPr>
          <w:rStyle w:val="CommentTok"/>
          <w:color w:val="auto"/>
        </w:rPr>
        <w:t># This is a density plot of the estimates for each diet source as well as the uncertainty around those estimates</w:t>
      </w:r>
      <w:r w:rsidR="00211716">
        <w:rPr>
          <w:rStyle w:val="CommentTok"/>
          <w:color w:val="auto"/>
        </w:rPr>
        <w:t>.</w:t>
      </w:r>
    </w:p>
    <w:p w14:paraId="05FDA6CA" w14:textId="77777777" w:rsidR="00837450" w:rsidRPr="00C65FDC" w:rsidRDefault="000802E8">
      <w:pPr>
        <w:pStyle w:val="Heading1"/>
        <w:rPr>
          <w:color w:val="auto"/>
        </w:rPr>
      </w:pPr>
      <w:bookmarkStart w:id="4" w:name="X6419e3ab35e84fe9b65d8309a61e8de795b2572"/>
      <w:bookmarkEnd w:id="0"/>
      <w:bookmarkEnd w:id="3"/>
      <w:r w:rsidRPr="00C65FDC">
        <w:rPr>
          <w:color w:val="auto"/>
        </w:rPr>
        <w:t>Overview of diet estimates and uncertainty</w:t>
      </w:r>
    </w:p>
    <w:p w14:paraId="6EF4449C" w14:textId="77777777" w:rsidR="00837450" w:rsidRDefault="000802E8">
      <w:pPr>
        <w:pStyle w:val="FirstParagraph"/>
      </w:pPr>
      <w:r>
        <w:t>Ants are estimated to make up less than .10 of our brown bear’s diet with low uncertainty. The range of proportions looks to be less than 0.05.</w:t>
      </w:r>
    </w:p>
    <w:p w14:paraId="2BF8FB7A" w14:textId="77777777" w:rsidR="00837450" w:rsidRDefault="000802E8">
      <w:pPr>
        <w:pStyle w:val="BodyText"/>
      </w:pPr>
      <w:r>
        <w:t>Bilberry make up just under 0.50 of the brown bear diet with more uncertainty that our estimates for ants. However, these are still pretty good estimates with a range of approximately 0.10.</w:t>
      </w:r>
    </w:p>
    <w:p w14:paraId="09D432E4" w14:textId="77777777" w:rsidR="00837450" w:rsidRDefault="000802E8">
      <w:pPr>
        <w:pStyle w:val="BodyText"/>
      </w:pPr>
      <w:r>
        <w:t>Crowberry is estimated to make up a much smaller proportion of the diet, only around 0.12, but has an even more uncertainty than bilberry, with the range of possible solutions encompassing slightly more than 0.10.</w:t>
      </w:r>
    </w:p>
    <w:p w14:paraId="2CB117D1" w14:textId="77777777" w:rsidR="00837450" w:rsidRDefault="000802E8">
      <w:pPr>
        <w:pStyle w:val="BodyText"/>
      </w:pPr>
      <w:r>
        <w:t>Lingonberry has the most uncertainty around the estimated diet proportion, with a mean of 0.29, but ranges from ~0.22 to ~0.35.</w:t>
      </w:r>
    </w:p>
    <w:p w14:paraId="20EB6F3D" w14:textId="77777777" w:rsidR="00837450" w:rsidRDefault="000802E8">
      <w:pPr>
        <w:pStyle w:val="BodyText"/>
      </w:pPr>
      <w:r>
        <w:lastRenderedPageBreak/>
        <w:t>Finally, moose is estimated with high certainty at a very low proportion of our brown bear diets.</w:t>
      </w:r>
    </w:p>
    <w:p w14:paraId="0317477D" w14:textId="77777777" w:rsidR="00837450" w:rsidRPr="00C65FDC" w:rsidRDefault="000802E8">
      <w:pPr>
        <w:pStyle w:val="Heading1"/>
        <w:rPr>
          <w:color w:val="auto"/>
        </w:rPr>
      </w:pPr>
      <w:bookmarkStart w:id="5" w:name="X97631401d71cabeb8d284cb4207cae29eaa032c"/>
      <w:bookmarkEnd w:id="4"/>
      <w:r w:rsidRPr="00C65FDC">
        <w:rPr>
          <w:color w:val="auto"/>
        </w:rPr>
        <w:t>Now we need to look at the positive and negative correlations between our diet sources.</w:t>
      </w:r>
    </w:p>
    <w:p w14:paraId="2F1E2F19" w14:textId="77777777" w:rsidR="00837450" w:rsidRDefault="000802E8">
      <w:pPr>
        <w:pStyle w:val="FirstParagraph"/>
      </w:pPr>
      <w:r>
        <w:t>High negative correlations indicate the model’s inability to differentiate between isotopically similar diet sources.</w:t>
      </w:r>
    </w:p>
    <w:p w14:paraId="34019DC3" w14:textId="77777777" w:rsidR="00837450" w:rsidRPr="00605B04" w:rsidRDefault="000802E8">
      <w:pPr>
        <w:pStyle w:val="SourceCode"/>
        <w:rPr>
          <w:color w:val="4F81BD" w:themeColor="accent1"/>
        </w:rPr>
      </w:pPr>
      <w:r w:rsidRPr="00605B04">
        <w:rPr>
          <w:rStyle w:val="FunctionTok"/>
          <w:color w:val="4F81BD" w:themeColor="accent1"/>
        </w:rPr>
        <w:t>plot</w:t>
      </w:r>
      <w:r w:rsidRPr="00605B04">
        <w:rPr>
          <w:rStyle w:val="NormalTok"/>
          <w:color w:val="4F81BD" w:themeColor="accent1"/>
        </w:rPr>
        <w:t xml:space="preserve">(bearsimmr_species1_out, </w:t>
      </w:r>
      <w:r w:rsidRPr="00605B04">
        <w:rPr>
          <w:rStyle w:val="AttributeTok"/>
          <w:color w:val="4F81BD" w:themeColor="accent1"/>
        </w:rPr>
        <w:t>type =</w:t>
      </w:r>
      <w:r w:rsidRPr="00605B04">
        <w:rPr>
          <w:rStyle w:val="NormalTok"/>
          <w:color w:val="4F81BD" w:themeColor="accent1"/>
        </w:rPr>
        <w:t xml:space="preserve"> </w:t>
      </w:r>
      <w:r w:rsidRPr="00605B04">
        <w:rPr>
          <w:rStyle w:val="StringTok"/>
          <w:color w:val="4F81BD" w:themeColor="accent1"/>
        </w:rPr>
        <w:t>"matrix"</w:t>
      </w:r>
      <w:r w:rsidRPr="00605B04">
        <w:rPr>
          <w:rStyle w:val="NormalTok"/>
          <w:color w:val="4F81BD" w:themeColor="accent1"/>
        </w:rPr>
        <w:t>)</w:t>
      </w:r>
    </w:p>
    <w:p w14:paraId="3D0E1DDA" w14:textId="77777777" w:rsidR="00837450" w:rsidRDefault="000802E8">
      <w:pPr>
        <w:pStyle w:val="FirstParagraph"/>
      </w:pPr>
      <w:r>
        <w:rPr>
          <w:noProof/>
        </w:rPr>
        <w:drawing>
          <wp:inline distT="0" distB="0" distL="0" distR="0" wp14:anchorId="3D5721B8" wp14:editId="3CF112A2">
            <wp:extent cx="5934075" cy="47815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eterminingSpeciesGrouping_files/figure-docx/unnamed-chunk-6-1.png"/>
                    <pic:cNvPicPr>
                      <a:picLocks noChangeAspect="1" noChangeArrowheads="1"/>
                    </pic:cNvPicPr>
                  </pic:nvPicPr>
                  <pic:blipFill>
                    <a:blip r:embed="rId9"/>
                    <a:stretch>
                      <a:fillRect/>
                    </a:stretch>
                  </pic:blipFill>
                  <pic:spPr bwMode="auto">
                    <a:xfrm>
                      <a:off x="0" y="0"/>
                      <a:ext cx="5934714" cy="4782065"/>
                    </a:xfrm>
                    <a:prstGeom prst="rect">
                      <a:avLst/>
                    </a:prstGeom>
                    <a:noFill/>
                    <a:ln w="9525">
                      <a:noFill/>
                      <a:headEnd/>
                      <a:tailEnd/>
                    </a:ln>
                  </pic:spPr>
                </pic:pic>
              </a:graphicData>
            </a:graphic>
          </wp:inline>
        </w:drawing>
      </w:r>
    </w:p>
    <w:p w14:paraId="619C1021" w14:textId="076492B8" w:rsidR="00837450" w:rsidRPr="00605B04" w:rsidRDefault="000802E8">
      <w:pPr>
        <w:pStyle w:val="SourceCode"/>
        <w:rPr>
          <w:color w:val="4F81BD" w:themeColor="accent1"/>
        </w:rPr>
      </w:pPr>
      <w:r w:rsidRPr="00E9318E">
        <w:rPr>
          <w:rStyle w:val="CommentTok"/>
          <w:color w:val="auto"/>
        </w:rPr>
        <w:t># We have a strong negative correlation between ants and moose as well as Crowberry and Lingonberry. Bilberry and Lingonberry are marginally negatively correlated. It is often recommended that species that are highly correlated be combined to minimize uncertainty around dietary estimates.</w:t>
      </w:r>
      <w:r w:rsidRPr="00E9318E">
        <w:br/>
      </w:r>
      <w:r w:rsidRPr="00E9318E">
        <w:br/>
      </w:r>
      <w:r w:rsidRPr="00E9318E">
        <w:rPr>
          <w:rStyle w:val="CommentTok"/>
          <w:color w:val="auto"/>
        </w:rPr>
        <w:t>#For the sake of scientific exploration, I will combine my two sources with the greates negative correlation, crowberry and lingonberry</w:t>
      </w:r>
      <w:r>
        <w:br/>
      </w:r>
      <w:r>
        <w:lastRenderedPageBreak/>
        <w:br/>
      </w:r>
      <w:r w:rsidRPr="00E9318E">
        <w:rPr>
          <w:rStyle w:val="CommentTok"/>
          <w:color w:val="auto"/>
        </w:rPr>
        <w:t>#But first, Simmr has some neat functions to compare dietary sources</w:t>
      </w:r>
      <w:r>
        <w:br/>
      </w:r>
      <w:r>
        <w:br/>
      </w:r>
      <w:r w:rsidRPr="00605B04">
        <w:rPr>
          <w:rStyle w:val="FunctionTok"/>
          <w:color w:val="4F81BD" w:themeColor="accent1"/>
        </w:rPr>
        <w:t>compare_sources</w:t>
      </w:r>
      <w:r w:rsidRPr="00605B04">
        <w:rPr>
          <w:rStyle w:val="NormalTok"/>
          <w:color w:val="4F81BD" w:themeColor="accent1"/>
        </w:rPr>
        <w:t>(bearsimmr_species1_out,</w:t>
      </w:r>
      <w:r w:rsidRPr="00605B04">
        <w:rPr>
          <w:color w:val="4F81BD" w:themeColor="accent1"/>
        </w:rPr>
        <w:br/>
      </w:r>
      <w:r w:rsidRPr="00605B04">
        <w:rPr>
          <w:rStyle w:val="NormalTok"/>
          <w:color w:val="4F81BD" w:themeColor="accent1"/>
        </w:rPr>
        <w:t xml:space="preserve">                </w:t>
      </w:r>
      <w:r w:rsidRPr="00605B04">
        <w:rPr>
          <w:rStyle w:val="AttributeTok"/>
          <w:color w:val="4F81BD" w:themeColor="accent1"/>
        </w:rPr>
        <w:t>source_names =</w:t>
      </w:r>
      <w:r w:rsidRPr="00605B04">
        <w:rPr>
          <w:rStyle w:val="NormalTok"/>
          <w:color w:val="4F81BD" w:themeColor="accent1"/>
        </w:rPr>
        <w:t xml:space="preserve"> </w:t>
      </w:r>
      <w:r w:rsidRPr="00605B04">
        <w:rPr>
          <w:rStyle w:val="FunctionTok"/>
          <w:color w:val="4F81BD" w:themeColor="accent1"/>
        </w:rPr>
        <w:t>c</w:t>
      </w:r>
      <w:r w:rsidRPr="00605B04">
        <w:rPr>
          <w:rStyle w:val="NormalTok"/>
          <w:color w:val="4F81BD" w:themeColor="accent1"/>
        </w:rPr>
        <w:t>(</w:t>
      </w:r>
      <w:r w:rsidRPr="00605B04">
        <w:rPr>
          <w:rStyle w:val="StringTok"/>
          <w:color w:val="4F81BD" w:themeColor="accent1"/>
        </w:rPr>
        <w:t>"Crowberry"</w:t>
      </w:r>
      <w:r w:rsidRPr="00605B04">
        <w:rPr>
          <w:rStyle w:val="NormalTok"/>
          <w:color w:val="4F81BD" w:themeColor="accent1"/>
        </w:rPr>
        <w:t>,</w:t>
      </w:r>
      <w:r w:rsidRPr="00605B04">
        <w:rPr>
          <w:rStyle w:val="StringTok"/>
          <w:color w:val="4F81BD" w:themeColor="accent1"/>
        </w:rPr>
        <w:t>"Lingonberry"</w:t>
      </w:r>
      <w:r w:rsidRPr="00605B04">
        <w:rPr>
          <w:rStyle w:val="NormalTok"/>
          <w:color w:val="4F81BD" w:themeColor="accent1"/>
        </w:rPr>
        <w:t>))</w:t>
      </w:r>
    </w:p>
    <w:p w14:paraId="3B23BD52" w14:textId="77777777" w:rsidR="00837450" w:rsidRDefault="000802E8">
      <w:pPr>
        <w:pStyle w:val="SourceCode"/>
      </w:pPr>
      <w:r>
        <w:rPr>
          <w:rStyle w:val="VerbatimChar"/>
        </w:rPr>
        <w:t>## Prob ( proportion of Crowberry &gt; proportion of Lingonberry ) = 0</w:t>
      </w:r>
    </w:p>
    <w:p w14:paraId="6522CBE0" w14:textId="77777777" w:rsidR="00837450" w:rsidRDefault="000802E8">
      <w:pPr>
        <w:pStyle w:val="FirstParagraph"/>
      </w:pPr>
      <w:r>
        <w:rPr>
          <w:noProof/>
        </w:rPr>
        <w:drawing>
          <wp:inline distT="0" distB="0" distL="0" distR="0" wp14:anchorId="12E6A44B" wp14:editId="2721135F">
            <wp:extent cx="5848350" cy="465772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eterminingSpeciesGrouping_files/figure-docx/unnamed-chunk-6-2.png"/>
                    <pic:cNvPicPr>
                      <a:picLocks noChangeAspect="1" noChangeArrowheads="1"/>
                    </pic:cNvPicPr>
                  </pic:nvPicPr>
                  <pic:blipFill>
                    <a:blip r:embed="rId10"/>
                    <a:stretch>
                      <a:fillRect/>
                    </a:stretch>
                  </pic:blipFill>
                  <pic:spPr bwMode="auto">
                    <a:xfrm>
                      <a:off x="0" y="0"/>
                      <a:ext cx="5848985" cy="4658231"/>
                    </a:xfrm>
                    <a:prstGeom prst="rect">
                      <a:avLst/>
                    </a:prstGeom>
                    <a:noFill/>
                    <a:ln w="9525">
                      <a:noFill/>
                      <a:headEnd/>
                      <a:tailEnd/>
                    </a:ln>
                  </pic:spPr>
                </pic:pic>
              </a:graphicData>
            </a:graphic>
          </wp:inline>
        </w:drawing>
      </w:r>
    </w:p>
    <w:p w14:paraId="7198F160" w14:textId="4ECF1399" w:rsidR="00837450" w:rsidRDefault="000802E8" w:rsidP="00605B04">
      <w:pPr>
        <w:pStyle w:val="SourceCode"/>
      </w:pPr>
      <w:r w:rsidRPr="00E9318E">
        <w:rPr>
          <w:rStyle w:val="CommentTok"/>
          <w:color w:val="auto"/>
        </w:rPr>
        <w:t># This compares two sources, graphs their estimated proportions and calculates the probability of one being greater than the other. In this case, the probability that the proportion of Crowberry is greater that the proportion of Lingonberry is 0.</w:t>
      </w:r>
      <w:r w:rsidRPr="00E9318E">
        <w:br/>
      </w:r>
      <w:r w:rsidRPr="00E9318E">
        <w:br/>
      </w:r>
      <w:r w:rsidRPr="00E9318E">
        <w:br/>
      </w:r>
      <w:r w:rsidRPr="00E9318E">
        <w:rPr>
          <w:rStyle w:val="DocumentationTok"/>
          <w:color w:val="auto"/>
        </w:rPr>
        <w:t>#######</w:t>
      </w:r>
      <w:r w:rsidRPr="00E9318E">
        <w:br/>
      </w:r>
      <w:r w:rsidRPr="00E9318E">
        <w:rPr>
          <w:rStyle w:val="CommentTok"/>
          <w:color w:val="auto"/>
        </w:rPr>
        <w:t># Combine sources post-priori</w:t>
      </w:r>
      <w:r>
        <w:br/>
      </w:r>
      <w:r>
        <w:br/>
      </w:r>
      <w:r w:rsidRPr="00605B04">
        <w:rPr>
          <w:rStyle w:val="NormalTok"/>
          <w:color w:val="4F81BD" w:themeColor="accent1"/>
        </w:rPr>
        <w:t xml:space="preserve">bearsimmr_out_species_posteriori </w:t>
      </w:r>
      <w:r w:rsidRPr="00605B04">
        <w:rPr>
          <w:rStyle w:val="OtherTok"/>
          <w:color w:val="4F81BD" w:themeColor="accent1"/>
        </w:rPr>
        <w:t>&lt;-</w:t>
      </w:r>
      <w:r w:rsidRPr="00605B04">
        <w:rPr>
          <w:rStyle w:val="NormalTok"/>
          <w:color w:val="4F81BD" w:themeColor="accent1"/>
        </w:rPr>
        <w:t xml:space="preserve"> </w:t>
      </w:r>
      <w:r w:rsidRPr="00605B04">
        <w:rPr>
          <w:color w:val="4F81BD" w:themeColor="accent1"/>
        </w:rPr>
        <w:br/>
      </w:r>
      <w:r w:rsidRPr="00605B04">
        <w:rPr>
          <w:rStyle w:val="NormalTok"/>
          <w:color w:val="4F81BD" w:themeColor="accent1"/>
        </w:rPr>
        <w:t xml:space="preserve">  </w:t>
      </w:r>
      <w:r w:rsidRPr="00605B04">
        <w:rPr>
          <w:rStyle w:val="FunctionTok"/>
          <w:color w:val="4F81BD" w:themeColor="accent1"/>
        </w:rPr>
        <w:t>combine_sources</w:t>
      </w:r>
      <w:r w:rsidRPr="00605B04">
        <w:rPr>
          <w:rStyle w:val="NormalTok"/>
          <w:color w:val="4F81BD" w:themeColor="accent1"/>
        </w:rPr>
        <w:t>(</w:t>
      </w:r>
      <w:r w:rsidRPr="00605B04">
        <w:rPr>
          <w:color w:val="4F81BD" w:themeColor="accent1"/>
        </w:rPr>
        <w:br/>
      </w:r>
      <w:r w:rsidRPr="00605B04">
        <w:rPr>
          <w:rStyle w:val="NormalTok"/>
          <w:color w:val="4F81BD" w:themeColor="accent1"/>
        </w:rPr>
        <w:t xml:space="preserve">    bearsimmr_species1_out,</w:t>
      </w:r>
      <w:r w:rsidRPr="00605B04">
        <w:rPr>
          <w:color w:val="4F81BD" w:themeColor="accent1"/>
        </w:rPr>
        <w:br/>
      </w:r>
      <w:r w:rsidRPr="00605B04">
        <w:rPr>
          <w:rStyle w:val="NormalTok"/>
          <w:color w:val="4F81BD" w:themeColor="accent1"/>
        </w:rPr>
        <w:t xml:space="preserve">    </w:t>
      </w:r>
      <w:r w:rsidRPr="00605B04">
        <w:rPr>
          <w:rStyle w:val="AttributeTok"/>
          <w:color w:val="4F81BD" w:themeColor="accent1"/>
        </w:rPr>
        <w:t>to_combine =</w:t>
      </w:r>
      <w:r w:rsidRPr="00605B04">
        <w:rPr>
          <w:rStyle w:val="NormalTok"/>
          <w:color w:val="4F81BD" w:themeColor="accent1"/>
        </w:rPr>
        <w:t xml:space="preserve"> bearsimmr_species1_out</w:t>
      </w:r>
      <w:r w:rsidRPr="00605B04">
        <w:rPr>
          <w:rStyle w:val="SpecialCharTok"/>
          <w:color w:val="4F81BD" w:themeColor="accent1"/>
        </w:rPr>
        <w:t>$</w:t>
      </w:r>
      <w:r w:rsidRPr="00605B04">
        <w:rPr>
          <w:rStyle w:val="NormalTok"/>
          <w:color w:val="4F81BD" w:themeColor="accent1"/>
        </w:rPr>
        <w:t>input</w:t>
      </w:r>
      <w:r w:rsidRPr="00605B04">
        <w:rPr>
          <w:rStyle w:val="SpecialCharTok"/>
          <w:color w:val="4F81BD" w:themeColor="accent1"/>
        </w:rPr>
        <w:t>$</w:t>
      </w:r>
      <w:r w:rsidRPr="00605B04">
        <w:rPr>
          <w:rStyle w:val="NormalTok"/>
          <w:color w:val="4F81BD" w:themeColor="accent1"/>
        </w:rPr>
        <w:t>source_names[</w:t>
      </w:r>
      <w:r w:rsidRPr="00605B04">
        <w:rPr>
          <w:rStyle w:val="FunctionTok"/>
          <w:color w:val="4F81BD" w:themeColor="accent1"/>
        </w:rPr>
        <w:t>c</w:t>
      </w:r>
      <w:r w:rsidRPr="00605B04">
        <w:rPr>
          <w:rStyle w:val="NormalTok"/>
          <w:color w:val="4F81BD" w:themeColor="accent1"/>
        </w:rPr>
        <w:t>(</w:t>
      </w:r>
      <w:r w:rsidRPr="00605B04">
        <w:rPr>
          <w:rStyle w:val="DecValTok"/>
          <w:color w:val="4F81BD" w:themeColor="accent1"/>
        </w:rPr>
        <w:t>3</w:t>
      </w:r>
      <w:r w:rsidRPr="00605B04">
        <w:rPr>
          <w:rStyle w:val="NormalTok"/>
          <w:color w:val="4F81BD" w:themeColor="accent1"/>
        </w:rPr>
        <w:t>,</w:t>
      </w:r>
      <w:r w:rsidRPr="00605B04">
        <w:rPr>
          <w:rStyle w:val="DecValTok"/>
          <w:color w:val="4F81BD" w:themeColor="accent1"/>
        </w:rPr>
        <w:t>4</w:t>
      </w:r>
      <w:r w:rsidRPr="00605B04">
        <w:rPr>
          <w:rStyle w:val="NormalTok"/>
          <w:color w:val="4F81BD" w:themeColor="accent1"/>
        </w:rPr>
        <w:t>)],</w:t>
      </w:r>
      <w:r w:rsidRPr="00605B04">
        <w:rPr>
          <w:color w:val="4F81BD" w:themeColor="accent1"/>
        </w:rPr>
        <w:br/>
      </w:r>
      <w:r w:rsidRPr="00605B04">
        <w:rPr>
          <w:rStyle w:val="NormalTok"/>
          <w:color w:val="4F81BD" w:themeColor="accent1"/>
        </w:rPr>
        <w:lastRenderedPageBreak/>
        <w:t xml:space="preserve">    </w:t>
      </w:r>
      <w:r w:rsidRPr="00605B04">
        <w:rPr>
          <w:rStyle w:val="AttributeTok"/>
          <w:color w:val="4F81BD" w:themeColor="accent1"/>
        </w:rPr>
        <w:t>new_source_name =</w:t>
      </w:r>
      <w:r w:rsidRPr="00605B04">
        <w:rPr>
          <w:rStyle w:val="NormalTok"/>
          <w:color w:val="4F81BD" w:themeColor="accent1"/>
        </w:rPr>
        <w:t xml:space="preserve"> </w:t>
      </w:r>
      <w:r w:rsidRPr="00605B04">
        <w:rPr>
          <w:rStyle w:val="StringTok"/>
          <w:color w:val="4F81BD" w:themeColor="accent1"/>
        </w:rPr>
        <w:t>"CrowLingon"</w:t>
      </w:r>
      <w:r w:rsidRPr="00605B04">
        <w:rPr>
          <w:color w:val="4F81BD" w:themeColor="accent1"/>
        </w:rPr>
        <w:br/>
      </w:r>
      <w:r w:rsidRPr="00605B04">
        <w:rPr>
          <w:rStyle w:val="NormalTok"/>
          <w:color w:val="4F81BD" w:themeColor="accent1"/>
        </w:rPr>
        <w:t xml:space="preserve">    </w:t>
      </w:r>
      <w:r w:rsidRPr="00605B04">
        <w:rPr>
          <w:color w:val="4F81BD" w:themeColor="accent1"/>
        </w:rPr>
        <w:br/>
      </w:r>
      <w:r w:rsidRPr="00605B04">
        <w:rPr>
          <w:rStyle w:val="NormalTok"/>
          <w:color w:val="4F81BD" w:themeColor="accent1"/>
        </w:rPr>
        <w:t xml:space="preserve">  )</w:t>
      </w:r>
      <w:r w:rsidRPr="00605B04">
        <w:rPr>
          <w:color w:val="4F81BD" w:themeColor="accent1"/>
        </w:rPr>
        <w:br/>
      </w:r>
      <w:r w:rsidRPr="00605B04">
        <w:rPr>
          <w:rStyle w:val="NormalTok"/>
          <w:color w:val="4F81BD" w:themeColor="accent1"/>
        </w:rPr>
        <w:t xml:space="preserve">  </w:t>
      </w:r>
      <w:r w:rsidRPr="00605B04">
        <w:rPr>
          <w:color w:val="4F81BD" w:themeColor="accent1"/>
        </w:rPr>
        <w:br/>
      </w:r>
      <w:r w:rsidRPr="00605B04">
        <w:rPr>
          <w:rStyle w:val="NormalTok"/>
          <w:color w:val="4F81BD" w:themeColor="accent1"/>
        </w:rPr>
        <w:t xml:space="preserve">  </w:t>
      </w:r>
      <w:r w:rsidRPr="00605B04">
        <w:rPr>
          <w:color w:val="4F81BD" w:themeColor="accent1"/>
        </w:rPr>
        <w:br/>
      </w:r>
      <w:r>
        <w:rPr>
          <w:noProof/>
        </w:rPr>
        <w:drawing>
          <wp:inline distT="0" distB="0" distL="0" distR="0" wp14:anchorId="7E517496" wp14:editId="73E61B38">
            <wp:extent cx="5867400" cy="50101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eterminingSpeciesGrouping_files/figure-docx/unnamed-chunk-6-3.png"/>
                    <pic:cNvPicPr>
                      <a:picLocks noChangeAspect="1" noChangeArrowheads="1"/>
                    </pic:cNvPicPr>
                  </pic:nvPicPr>
                  <pic:blipFill>
                    <a:blip r:embed="rId11"/>
                    <a:stretch>
                      <a:fillRect/>
                    </a:stretch>
                  </pic:blipFill>
                  <pic:spPr bwMode="auto">
                    <a:xfrm>
                      <a:off x="0" y="0"/>
                      <a:ext cx="5868042" cy="5010698"/>
                    </a:xfrm>
                    <a:prstGeom prst="rect">
                      <a:avLst/>
                    </a:prstGeom>
                    <a:noFill/>
                    <a:ln w="9525">
                      <a:noFill/>
                      <a:headEnd/>
                      <a:tailEnd/>
                    </a:ln>
                  </pic:spPr>
                </pic:pic>
              </a:graphicData>
            </a:graphic>
          </wp:inline>
        </w:drawing>
      </w:r>
    </w:p>
    <w:p w14:paraId="1370E0B9" w14:textId="04737FC7" w:rsidR="00837450" w:rsidRPr="00E9318E" w:rsidRDefault="000802E8">
      <w:pPr>
        <w:pStyle w:val="SourceCode"/>
      </w:pPr>
      <w:r w:rsidRPr="00E9318E">
        <w:rPr>
          <w:rStyle w:val="CommentTok"/>
          <w:color w:val="auto"/>
        </w:rPr>
        <w:t># We now have a new density plot with the combined estimated proportions for crowberry and lingonberry in one category as well as the inflated uncertainty</w:t>
      </w:r>
      <w:r w:rsidRPr="00E9318E">
        <w:br/>
      </w:r>
      <w:r w:rsidRPr="00E9318E">
        <w:br/>
      </w:r>
      <w:r w:rsidRPr="00E9318E">
        <w:rPr>
          <w:rStyle w:val="CommentTok"/>
          <w:color w:val="auto"/>
        </w:rPr>
        <w:t># We can look at out matrix plots again to check our correlations between diet sources</w:t>
      </w:r>
      <w:r w:rsidRPr="00E9318E">
        <w:br/>
      </w:r>
    </w:p>
    <w:p w14:paraId="6C69D286" w14:textId="77777777" w:rsidR="00837450" w:rsidRDefault="000802E8">
      <w:pPr>
        <w:pStyle w:val="FirstParagraph"/>
      </w:pPr>
      <w:r>
        <w:rPr>
          <w:noProof/>
        </w:rPr>
        <w:lastRenderedPageBreak/>
        <w:drawing>
          <wp:inline distT="0" distB="0" distL="0" distR="0" wp14:anchorId="16F2CD85" wp14:editId="302B8A94">
            <wp:extent cx="5781675" cy="481012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eterminingSpeciesGrouping_files/figure-docx/unnamed-chunk-6-4.png"/>
                    <pic:cNvPicPr>
                      <a:picLocks noChangeAspect="1" noChangeArrowheads="1"/>
                    </pic:cNvPicPr>
                  </pic:nvPicPr>
                  <pic:blipFill>
                    <a:blip r:embed="rId12"/>
                    <a:stretch>
                      <a:fillRect/>
                    </a:stretch>
                  </pic:blipFill>
                  <pic:spPr bwMode="auto">
                    <a:xfrm>
                      <a:off x="0" y="0"/>
                      <a:ext cx="5782304" cy="4810648"/>
                    </a:xfrm>
                    <a:prstGeom prst="rect">
                      <a:avLst/>
                    </a:prstGeom>
                    <a:noFill/>
                    <a:ln w="9525">
                      <a:noFill/>
                      <a:headEnd/>
                      <a:tailEnd/>
                    </a:ln>
                  </pic:spPr>
                </pic:pic>
              </a:graphicData>
            </a:graphic>
          </wp:inline>
        </w:drawing>
      </w:r>
    </w:p>
    <w:p w14:paraId="4C08B8BF" w14:textId="13A61744" w:rsidR="00837450" w:rsidRDefault="000802E8" w:rsidP="00605B04">
      <w:pPr>
        <w:pStyle w:val="SourceCode"/>
      </w:pPr>
      <w:r w:rsidRPr="00E9318E">
        <w:rPr>
          <w:rStyle w:val="CommentTok"/>
          <w:color w:val="auto"/>
        </w:rPr>
        <w:t># Now there is a huge negative correlation between Bilberry and the other 2 berries because when we combined them, we also combined their varinace and variance-covariances.</w:t>
      </w:r>
      <w:r w:rsidRPr="00E9318E">
        <w:br/>
      </w:r>
      <w:r w:rsidRPr="00E9318E">
        <w:br/>
      </w:r>
      <w:r w:rsidRPr="00E9318E">
        <w:rPr>
          <w:rStyle w:val="CommentTok"/>
          <w:color w:val="auto"/>
        </w:rPr>
        <w:t># So should we combine all 3 berries?</w:t>
      </w:r>
      <w:r>
        <w:br/>
      </w:r>
      <w:r>
        <w:rPr>
          <w:rStyle w:val="NormalTok"/>
        </w:rPr>
        <w:t xml:space="preserve"> </w:t>
      </w:r>
      <w:r>
        <w:br/>
      </w:r>
      <w:r w:rsidRPr="00605B04">
        <w:rPr>
          <w:rStyle w:val="NormalTok"/>
          <w:color w:val="4F81BD" w:themeColor="accent1"/>
        </w:rPr>
        <w:t xml:space="preserve">bearsimmr_out_species_posteriori2 </w:t>
      </w:r>
      <w:r w:rsidRPr="00605B04">
        <w:rPr>
          <w:rStyle w:val="OtherTok"/>
          <w:color w:val="4F81BD" w:themeColor="accent1"/>
        </w:rPr>
        <w:t>&lt;-</w:t>
      </w:r>
      <w:r w:rsidRPr="00605B04">
        <w:rPr>
          <w:rStyle w:val="NormalTok"/>
          <w:color w:val="4F81BD" w:themeColor="accent1"/>
        </w:rPr>
        <w:t xml:space="preserve"> </w:t>
      </w:r>
      <w:r w:rsidRPr="00605B04">
        <w:rPr>
          <w:color w:val="4F81BD" w:themeColor="accent1"/>
        </w:rPr>
        <w:br/>
      </w:r>
      <w:r w:rsidRPr="00605B04">
        <w:rPr>
          <w:rStyle w:val="NormalTok"/>
          <w:color w:val="4F81BD" w:themeColor="accent1"/>
        </w:rPr>
        <w:t xml:space="preserve">  </w:t>
      </w:r>
      <w:r w:rsidRPr="00605B04">
        <w:rPr>
          <w:rStyle w:val="FunctionTok"/>
          <w:color w:val="4F81BD" w:themeColor="accent1"/>
        </w:rPr>
        <w:t>combine_sources</w:t>
      </w:r>
      <w:r w:rsidRPr="00605B04">
        <w:rPr>
          <w:rStyle w:val="NormalTok"/>
          <w:color w:val="4F81BD" w:themeColor="accent1"/>
        </w:rPr>
        <w:t>(</w:t>
      </w:r>
      <w:r w:rsidRPr="00605B04">
        <w:rPr>
          <w:color w:val="4F81BD" w:themeColor="accent1"/>
        </w:rPr>
        <w:br/>
      </w:r>
      <w:r w:rsidRPr="00605B04">
        <w:rPr>
          <w:rStyle w:val="NormalTok"/>
          <w:color w:val="4F81BD" w:themeColor="accent1"/>
        </w:rPr>
        <w:t xml:space="preserve">    bearsimmr_species1_out,</w:t>
      </w:r>
      <w:r w:rsidRPr="00605B04">
        <w:rPr>
          <w:color w:val="4F81BD" w:themeColor="accent1"/>
        </w:rPr>
        <w:br/>
      </w:r>
      <w:r w:rsidRPr="00605B04">
        <w:rPr>
          <w:rStyle w:val="NormalTok"/>
          <w:color w:val="4F81BD" w:themeColor="accent1"/>
        </w:rPr>
        <w:t xml:space="preserve">    </w:t>
      </w:r>
      <w:r w:rsidRPr="00605B04">
        <w:rPr>
          <w:rStyle w:val="AttributeTok"/>
          <w:color w:val="4F81BD" w:themeColor="accent1"/>
        </w:rPr>
        <w:t>to_combine =</w:t>
      </w:r>
      <w:r w:rsidRPr="00605B04">
        <w:rPr>
          <w:rStyle w:val="NormalTok"/>
          <w:color w:val="4F81BD" w:themeColor="accent1"/>
        </w:rPr>
        <w:t xml:space="preserve"> bearsimmr_species1_out</w:t>
      </w:r>
      <w:r w:rsidRPr="00605B04">
        <w:rPr>
          <w:rStyle w:val="SpecialCharTok"/>
          <w:color w:val="4F81BD" w:themeColor="accent1"/>
        </w:rPr>
        <w:t>$</w:t>
      </w:r>
      <w:r w:rsidRPr="00605B04">
        <w:rPr>
          <w:rStyle w:val="NormalTok"/>
          <w:color w:val="4F81BD" w:themeColor="accent1"/>
        </w:rPr>
        <w:t>input</w:t>
      </w:r>
      <w:r w:rsidRPr="00605B04">
        <w:rPr>
          <w:rStyle w:val="SpecialCharTok"/>
          <w:color w:val="4F81BD" w:themeColor="accent1"/>
        </w:rPr>
        <w:t>$</w:t>
      </w:r>
      <w:r w:rsidRPr="00605B04">
        <w:rPr>
          <w:rStyle w:val="NormalTok"/>
          <w:color w:val="4F81BD" w:themeColor="accent1"/>
        </w:rPr>
        <w:t>source_names[</w:t>
      </w:r>
      <w:r w:rsidRPr="00605B04">
        <w:rPr>
          <w:rStyle w:val="FunctionTok"/>
          <w:color w:val="4F81BD" w:themeColor="accent1"/>
        </w:rPr>
        <w:t>c</w:t>
      </w:r>
      <w:r w:rsidRPr="00605B04">
        <w:rPr>
          <w:rStyle w:val="NormalTok"/>
          <w:color w:val="4F81BD" w:themeColor="accent1"/>
        </w:rPr>
        <w:t>(</w:t>
      </w:r>
      <w:r w:rsidRPr="00605B04">
        <w:rPr>
          <w:rStyle w:val="DecValTok"/>
          <w:color w:val="4F81BD" w:themeColor="accent1"/>
        </w:rPr>
        <w:t>2</w:t>
      </w:r>
      <w:r w:rsidRPr="00605B04">
        <w:rPr>
          <w:rStyle w:val="NormalTok"/>
          <w:color w:val="4F81BD" w:themeColor="accent1"/>
        </w:rPr>
        <w:t>,</w:t>
      </w:r>
      <w:r w:rsidRPr="00605B04">
        <w:rPr>
          <w:rStyle w:val="DecValTok"/>
          <w:color w:val="4F81BD" w:themeColor="accent1"/>
        </w:rPr>
        <w:t>3</w:t>
      </w:r>
      <w:r w:rsidRPr="00605B04">
        <w:rPr>
          <w:rStyle w:val="NormalTok"/>
          <w:color w:val="4F81BD" w:themeColor="accent1"/>
        </w:rPr>
        <w:t>,</w:t>
      </w:r>
      <w:r w:rsidRPr="00605B04">
        <w:rPr>
          <w:rStyle w:val="DecValTok"/>
          <w:color w:val="4F81BD" w:themeColor="accent1"/>
        </w:rPr>
        <w:t>4</w:t>
      </w:r>
      <w:r w:rsidRPr="00605B04">
        <w:rPr>
          <w:rStyle w:val="NormalTok"/>
          <w:color w:val="4F81BD" w:themeColor="accent1"/>
        </w:rPr>
        <w:t>)],</w:t>
      </w:r>
      <w:r w:rsidRPr="00605B04">
        <w:rPr>
          <w:color w:val="4F81BD" w:themeColor="accent1"/>
        </w:rPr>
        <w:br/>
      </w:r>
      <w:r w:rsidRPr="00605B04">
        <w:rPr>
          <w:rStyle w:val="NormalTok"/>
          <w:color w:val="4F81BD" w:themeColor="accent1"/>
        </w:rPr>
        <w:t xml:space="preserve">    </w:t>
      </w:r>
      <w:r w:rsidRPr="00605B04">
        <w:rPr>
          <w:rStyle w:val="AttributeTok"/>
          <w:color w:val="4F81BD" w:themeColor="accent1"/>
        </w:rPr>
        <w:t>new_source_name =</w:t>
      </w:r>
      <w:r w:rsidRPr="00605B04">
        <w:rPr>
          <w:rStyle w:val="NormalTok"/>
          <w:color w:val="4F81BD" w:themeColor="accent1"/>
        </w:rPr>
        <w:t xml:space="preserve"> </w:t>
      </w:r>
      <w:r w:rsidRPr="00605B04">
        <w:rPr>
          <w:rStyle w:val="StringTok"/>
          <w:color w:val="4F81BD" w:themeColor="accent1"/>
        </w:rPr>
        <w:t>"AllBerries"</w:t>
      </w:r>
      <w:r w:rsidRPr="00605B04">
        <w:rPr>
          <w:color w:val="4F81BD" w:themeColor="accent1"/>
        </w:rPr>
        <w:br/>
      </w:r>
      <w:r w:rsidRPr="00605B04">
        <w:rPr>
          <w:rStyle w:val="NormalTok"/>
          <w:color w:val="4F81BD" w:themeColor="accent1"/>
        </w:rPr>
        <w:t xml:space="preserve">    </w:t>
      </w:r>
      <w:r w:rsidRPr="00605B04">
        <w:rPr>
          <w:color w:val="4F81BD" w:themeColor="accent1"/>
        </w:rPr>
        <w:br/>
      </w:r>
      <w:r w:rsidRPr="00605B04">
        <w:rPr>
          <w:rStyle w:val="NormalTok"/>
          <w:color w:val="4F81BD" w:themeColor="accent1"/>
        </w:rPr>
        <w:t xml:space="preserve">  )</w:t>
      </w:r>
      <w:r w:rsidRPr="00605B04">
        <w:rPr>
          <w:color w:val="4F81BD" w:themeColor="accent1"/>
        </w:rPr>
        <w:br/>
      </w:r>
      <w:r>
        <w:lastRenderedPageBreak/>
        <w:br/>
      </w:r>
      <w:r>
        <w:rPr>
          <w:noProof/>
        </w:rPr>
        <w:drawing>
          <wp:inline distT="0" distB="0" distL="0" distR="0" wp14:anchorId="0A7126AF" wp14:editId="07C2B476">
            <wp:extent cx="5829300" cy="431482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eterminingSpeciesGrouping_files/figure-docx/unnamed-chunk-6-5.png"/>
                    <pic:cNvPicPr>
                      <a:picLocks noChangeAspect="1" noChangeArrowheads="1"/>
                    </pic:cNvPicPr>
                  </pic:nvPicPr>
                  <pic:blipFill>
                    <a:blip r:embed="rId13"/>
                    <a:stretch>
                      <a:fillRect/>
                    </a:stretch>
                  </pic:blipFill>
                  <pic:spPr bwMode="auto">
                    <a:xfrm>
                      <a:off x="0" y="0"/>
                      <a:ext cx="5829930" cy="4315291"/>
                    </a:xfrm>
                    <a:prstGeom prst="rect">
                      <a:avLst/>
                    </a:prstGeom>
                    <a:noFill/>
                    <a:ln w="9525">
                      <a:noFill/>
                      <a:headEnd/>
                      <a:tailEnd/>
                    </a:ln>
                  </pic:spPr>
                </pic:pic>
              </a:graphicData>
            </a:graphic>
          </wp:inline>
        </w:drawing>
      </w:r>
    </w:p>
    <w:p w14:paraId="05A462D6" w14:textId="5391D601" w:rsidR="00837450" w:rsidRPr="00E9318E" w:rsidRDefault="000802E8">
      <w:pPr>
        <w:pStyle w:val="SourceCode"/>
      </w:pPr>
      <w:r w:rsidRPr="00E9318E">
        <w:rPr>
          <w:rStyle w:val="CommentTok"/>
          <w:color w:val="auto"/>
        </w:rPr>
        <w:t># Now we have diet sources all estimated with very high certainty. Berries seem to make up almost all og the diet, while ants and moose make up minor proportions.</w:t>
      </w:r>
      <w:r w:rsidRPr="00E9318E">
        <w:br/>
      </w:r>
      <w:r w:rsidRPr="00E9318E">
        <w:br/>
      </w:r>
    </w:p>
    <w:p w14:paraId="0E70715B" w14:textId="77777777" w:rsidR="00837450" w:rsidRDefault="000802E8">
      <w:pPr>
        <w:pStyle w:val="FirstParagraph"/>
      </w:pPr>
      <w:r>
        <w:rPr>
          <w:noProof/>
        </w:rPr>
        <w:lastRenderedPageBreak/>
        <w:drawing>
          <wp:inline distT="0" distB="0" distL="0" distR="0" wp14:anchorId="5625E94E" wp14:editId="4DFF91BF">
            <wp:extent cx="5743575" cy="425767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eterminingSpeciesGrouping_files/figure-docx/unnamed-chunk-6-6.png"/>
                    <pic:cNvPicPr>
                      <a:picLocks noChangeAspect="1" noChangeArrowheads="1"/>
                    </pic:cNvPicPr>
                  </pic:nvPicPr>
                  <pic:blipFill>
                    <a:blip r:embed="rId14"/>
                    <a:stretch>
                      <a:fillRect/>
                    </a:stretch>
                  </pic:blipFill>
                  <pic:spPr bwMode="auto">
                    <a:xfrm>
                      <a:off x="0" y="0"/>
                      <a:ext cx="5744196" cy="4258135"/>
                    </a:xfrm>
                    <a:prstGeom prst="rect">
                      <a:avLst/>
                    </a:prstGeom>
                    <a:noFill/>
                    <a:ln w="9525">
                      <a:noFill/>
                      <a:headEnd/>
                      <a:tailEnd/>
                    </a:ln>
                  </pic:spPr>
                </pic:pic>
              </a:graphicData>
            </a:graphic>
          </wp:inline>
        </w:drawing>
      </w:r>
    </w:p>
    <w:p w14:paraId="0AB959B9" w14:textId="77777777" w:rsidR="00837450" w:rsidRPr="00E9318E" w:rsidRDefault="000802E8">
      <w:pPr>
        <w:pStyle w:val="SourceCode"/>
      </w:pPr>
      <w:r w:rsidRPr="00E9318E">
        <w:rPr>
          <w:rStyle w:val="CommentTok"/>
          <w:color w:val="auto"/>
        </w:rPr>
        <w:t># But we still have very large negative correlations, now not only between ants and moose, as we might expect, but ants and the berry species as well</w:t>
      </w:r>
    </w:p>
    <w:p w14:paraId="03B3C163" w14:textId="77777777" w:rsidR="00837450" w:rsidRPr="00605B04" w:rsidRDefault="000802E8">
      <w:pPr>
        <w:pStyle w:val="Heading1"/>
        <w:rPr>
          <w:color w:val="auto"/>
        </w:rPr>
      </w:pPr>
      <w:bookmarkStart w:id="6" w:name="species-grouping-summary"/>
      <w:bookmarkEnd w:id="5"/>
      <w:r w:rsidRPr="00605B04">
        <w:rPr>
          <w:color w:val="auto"/>
        </w:rPr>
        <w:t>Species grouping summary</w:t>
      </w:r>
    </w:p>
    <w:p w14:paraId="220EA8C4" w14:textId="3C92E814" w:rsidR="00837450" w:rsidRDefault="000802E8">
      <w:pPr>
        <w:pStyle w:val="FirstParagraph"/>
      </w:pPr>
      <w:r>
        <w:t xml:space="preserve">The dies sources within this system are all pretty similar. This is probably related to the silvicultural system in Sweden which favors high density of these berry species and similar diets between the moose and ants within the system. Combining sources does decrease the uncertainty around our diet estimates, but it does not eliminate strong negative correlations between food sources. Given that the model provides </w:t>
      </w:r>
      <w:r w:rsidR="00605B04">
        <w:t>robust</w:t>
      </w:r>
      <w:r>
        <w:t xml:space="preserve"> estimates without combining food sources, I would recommend not combining sources and being explicit about the negative correlations and what this means for interpreting diet sources.</w:t>
      </w:r>
      <w:r w:rsidR="002F5050">
        <w:t xml:space="preserve"> When trying to determine differences in specific sources that are negatively correlated, we could use some of the tools within simmr to say something about the differences between these sources</w:t>
      </w:r>
      <w:r w:rsidR="00CD6F91">
        <w:t>, such as I showed above for crowberry and lingonberry</w:t>
      </w:r>
      <w:bookmarkEnd w:id="6"/>
    </w:p>
    <w:sectPr w:rsidR="008374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7248" w14:textId="77777777" w:rsidR="007412E1" w:rsidRDefault="007412E1">
      <w:pPr>
        <w:spacing w:after="0"/>
      </w:pPr>
      <w:r>
        <w:separator/>
      </w:r>
    </w:p>
  </w:endnote>
  <w:endnote w:type="continuationSeparator" w:id="0">
    <w:p w14:paraId="1BA628E3" w14:textId="77777777" w:rsidR="007412E1" w:rsidRDefault="007412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1E5E" w14:textId="77777777" w:rsidR="007412E1" w:rsidRDefault="007412E1">
      <w:r>
        <w:separator/>
      </w:r>
    </w:p>
  </w:footnote>
  <w:footnote w:type="continuationSeparator" w:id="0">
    <w:p w14:paraId="22F9DD6B" w14:textId="77777777" w:rsidR="007412E1" w:rsidRDefault="00741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68D6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450"/>
    <w:rsid w:val="000802E8"/>
    <w:rsid w:val="00211716"/>
    <w:rsid w:val="002F5050"/>
    <w:rsid w:val="00605B04"/>
    <w:rsid w:val="007412E1"/>
    <w:rsid w:val="00837450"/>
    <w:rsid w:val="00C65FDC"/>
    <w:rsid w:val="00CD6F91"/>
    <w:rsid w:val="00E931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46EB"/>
  <w15:docId w15:val="{A0F8FDDF-E903-4C9F-B0DC-1E7BBF7C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DeterminingSpeciesGrouping</vt:lpstr>
    </vt:vector>
  </TitlesOfParts>
  <Company>USN</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DeterminingSpeciesGrouping</dc:title>
  <dc:creator>Ashlee Mikkelsen</dc:creator>
  <cp:keywords/>
  <cp:lastModifiedBy>Ashlee Jean Mikkelsen</cp:lastModifiedBy>
  <cp:revision>3</cp:revision>
  <dcterms:created xsi:type="dcterms:W3CDTF">2022-03-21T08:50:00Z</dcterms:created>
  <dcterms:modified xsi:type="dcterms:W3CDTF">2022-03-21T09:40:00Z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output">
    <vt:lpwstr/>
  </property>
</Properties>
</file>