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4.png" ContentType="image/png"/>
  <Override PartName="/word/media/rId67.png" ContentType="image/png"/>
  <Override PartName="/word/media/rId70.png" ContentType="image/png"/>
  <Override PartName="/word/media/rId75.png" ContentType="image/png"/>
  <Override PartName="/word/media/rId78.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to</w:t>
      </w:r>
      <w:r>
        <w:t xml:space="preserve"> </w:t>
      </w:r>
      <w:r>
        <w:t xml:space="preserve">Trophic</w:t>
      </w:r>
      <w:r>
        <w:t xml:space="preserve"> </w:t>
      </w:r>
      <w:r>
        <w:t xml:space="preserve">Discrimination</w:t>
      </w:r>
      <w:r>
        <w:t xml:space="preserve"> </w:t>
      </w:r>
      <w:r>
        <w:t xml:space="preserve">Factors</w:t>
      </w:r>
    </w:p>
    <w:p>
      <w:pPr>
        <w:pStyle w:val="Author"/>
      </w:pPr>
      <w:r>
        <w:t xml:space="preserve">Ashlee</w:t>
      </w:r>
      <w:r>
        <w:t xml:space="preserve"> </w:t>
      </w:r>
      <w:r>
        <w:t xml:space="preserve">Mikkelsen</w:t>
      </w:r>
    </w:p>
    <w:p>
      <w:pPr>
        <w:pStyle w:val="Date"/>
      </w:pPr>
      <w:r>
        <w:t xml:space="preserve">2022-03-21</w:t>
      </w:r>
    </w:p>
    <w:p>
      <w:pPr>
        <w:pStyle w:val="FirstParagraph"/>
      </w:pPr>
      <w:r>
        <w:t xml:space="preserve">Since I concluded from my previous analysis not to group sources</w:t>
      </w:r>
      <w:r>
        <w:t xml:space="preserve"> </w:t>
      </w:r>
      <w:r>
        <w:t xml:space="preserve">(pending comments from collaborators), I went forward with looking at</w:t>
      </w:r>
      <w:r>
        <w:t xml:space="preserve"> </w:t>
      </w:r>
      <w:r>
        <w:t xml:space="preserve">the sensitivity of my diet estimates to different tropic discrimination</w:t>
      </w:r>
      <w:r>
        <w:t xml:space="preserve"> </w:t>
      </w:r>
      <w:r>
        <w:t xml:space="preserve">factors, hereafter abbreviated as TDF.</w:t>
      </w:r>
    </w:p>
    <w:p>
      <w:pPr>
        <w:pStyle w:val="BodyText"/>
      </w:pPr>
      <w:r>
        <w:t xml:space="preserve">Here I will generate several models with different discrimination</w:t>
      </w:r>
      <w:r>
        <w:t xml:space="preserve"> </w:t>
      </w:r>
      <w:r>
        <w:t xml:space="preserve">factors to estimate how these effect my diet estimates</w:t>
      </w:r>
    </w:p>
    <w:p>
      <w:pPr>
        <w:pStyle w:val="BodyText"/>
      </w:pPr>
      <w:r>
        <w:t xml:space="preserve">I will compare 6 models, all with uninformative priors. The first model</w:t>
      </w:r>
      <w:r>
        <w:t xml:space="preserve"> </w:t>
      </w:r>
      <w:r>
        <w:t xml:space="preserve">will have the specific TDFs that I calculated from the linear equations</w:t>
      </w:r>
      <w:r>
        <w:t xml:space="preserve"> </w:t>
      </w:r>
      <w:r>
        <w:t xml:space="preserve">of Hilderbrand et al 1996 and Felicetti et al 2003.I will also run a</w:t>
      </w:r>
      <w:r>
        <w:t xml:space="preserve"> </w:t>
      </w:r>
      <w:r>
        <w:t xml:space="preserve">model with TDFs calculated using each equation in those papers. I will</w:t>
      </w:r>
      <w:r>
        <w:t xml:space="preserve"> </w:t>
      </w:r>
      <w:r>
        <w:t xml:space="preserve">also run models with TDFs that are both lower and higher than mine by 1</w:t>
      </w:r>
      <w:r>
        <w:t xml:space="preserve"> </w:t>
      </w:r>
      <w:r>
        <w:t xml:space="preserve">per mil. Finally I also include a model with no TDF corrections, as done</w:t>
      </w:r>
      <w:r>
        <w:t xml:space="preserve"> </w:t>
      </w:r>
      <w:r>
        <w:t xml:space="preserve">in Ro et al. 2021.</w:t>
      </w:r>
    </w:p>
    <w:p>
      <w:pPr>
        <w:pStyle w:val="BodyText"/>
      </w:pPr>
      <w:r>
        <w:t xml:space="preserve">For each group of TDFs, I include the same variance around the TDFs of</w:t>
      </w:r>
      <w:r>
        <w:t xml:space="preserve"> </w:t>
      </w:r>
      <w:r>
        <w:t xml:space="preserve">standard deviations of 1 per mil.</w:t>
      </w:r>
    </w:p>
    <w:bookmarkStart w:id="74" w:name="model-list"/>
    <w:p>
      <w:pPr>
        <w:pStyle w:val="Heading3"/>
      </w:pPr>
      <w:r>
        <w:t xml:space="preserve">Model list:</w:t>
      </w:r>
    </w:p>
    <w:p>
      <w:pPr>
        <w:pStyle w:val="FirstParagraph"/>
      </w:pPr>
      <w:r>
        <w:t xml:space="preserve">Model 1: My derived TDF</w:t>
      </w:r>
    </w:p>
    <w:p>
      <w:pPr>
        <w:pStyle w:val="BodyText"/>
      </w:pPr>
      <w:r>
        <w:t xml:space="preserve">Model 2: TDF calculated from Hilderbrand et al 1996</w:t>
      </w:r>
    </w:p>
    <w:p>
      <w:pPr>
        <w:pStyle w:val="BodyText"/>
      </w:pPr>
      <w:r>
        <w:t xml:space="preserve">Model 3: TDF calculated from Felicetti et al. 2003</w:t>
      </w:r>
    </w:p>
    <w:p>
      <w:pPr>
        <w:pStyle w:val="BodyText"/>
      </w:pPr>
      <w:r>
        <w:t xml:space="preserve">Model 4: My TDFs -1 per mil</w:t>
      </w:r>
    </w:p>
    <w:p>
      <w:pPr>
        <w:pStyle w:val="BodyText"/>
      </w:pPr>
      <w:r>
        <w:t xml:space="preserve">Model 5: My TDFs +1 per mil</w:t>
      </w:r>
    </w:p>
    <w:p>
      <w:pPr>
        <w:pStyle w:val="BodyText"/>
      </w:pPr>
      <w:r>
        <w:t xml:space="preserve">Model 6: No TDF as in Ro et al. 2021</w:t>
      </w:r>
    </w:p>
    <w:bookmarkStart w:id="26" w:name="X35ba06494f09dc56bec39e4d90ebf91412adb02"/>
    <w:p>
      <w:pPr>
        <w:pStyle w:val="Heading5"/>
      </w:pPr>
      <w:r>
        <w:t xml:space="preserve">Take raw SI data and convert moose hair to moose meat and correct for Suess</w:t>
      </w:r>
    </w:p>
    <w:p>
      <w:pPr>
        <w:pStyle w:val="FirstParagraph"/>
      </w:pPr>
      <w:r>
        <w:t xml:space="preserve">First, I use the TDFs that I derived from 3 published bear feeding</w:t>
      </w:r>
      <w:r>
        <w:t xml:space="preserve"> </w:t>
      </w:r>
      <w:r>
        <w:t xml:space="preserve">experiments. Below are the two linear regression models that I derived</w:t>
      </w:r>
      <w:r>
        <w:t xml:space="preserve"> </w:t>
      </w:r>
      <w:r>
        <w:t xml:space="preserve">following recommendations by Philips et al. 2014 using the feeding</w:t>
      </w:r>
      <w:r>
        <w:t xml:space="preserve"> </w:t>
      </w:r>
      <w:r>
        <w:t xml:space="preserve">experiment Hilderbrand et al. 1996, Felicetti et al. 2003, and Rode et</w:t>
      </w:r>
      <w:r>
        <w:t xml:space="preserve"> </w:t>
      </w:r>
      <w:r>
        <w:t xml:space="preserve">al. 2016.</w:t>
      </w:r>
    </w:p>
    <w:p>
      <w:pPr>
        <w:pStyle w:val="SourceCode"/>
      </w:pPr>
      <w:r>
        <w:rPr>
          <w:rStyle w:val="NormalTok"/>
        </w:rPr>
        <w:t xml:space="preserve">Mikkelsen13C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SpecialCharTok"/>
        </w:rPr>
        <w:t xml:space="preserve">-</w:t>
      </w:r>
      <w:r>
        <w:rPr>
          <w:rStyle w:val="FloatTok"/>
        </w:rPr>
        <w:t xml:space="preserve">10.6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Mikkelsen15N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FloatTok"/>
        </w:rPr>
        <w:t xml:space="preserve">5.02</w:t>
      </w:r>
      <w:r>
        <w:rPr>
          <w:rStyle w:val="SpecialCharTok"/>
        </w:rPr>
        <w:t xml:space="preserve">+</w:t>
      </w:r>
      <w:r>
        <w:rPr>
          <w:rStyle w:val="NormalTok"/>
        </w:rPr>
        <w:t xml:space="preserve">(</w:t>
      </w:r>
      <w:r>
        <w:rPr>
          <w:rStyle w:val="FloatTok"/>
        </w:rPr>
        <w:t xml:space="preserve">0.90</w:t>
      </w:r>
      <w:r>
        <w:rPr>
          <w:rStyle w:val="SpecialCharTok"/>
        </w:rPr>
        <w:t xml:space="preserve">*</w:t>
      </w:r>
      <w:r>
        <w:rPr>
          <w:rStyle w:val="NormalTok"/>
        </w:rPr>
        <w:t xml:space="preserve">x)</w:t>
      </w:r>
      <w:r>
        <w:br/>
      </w:r>
      <w:r>
        <w:rPr>
          <w:rStyle w:val="NormalTok"/>
        </w:rPr>
        <w:t xml:space="preserve">}</w:t>
      </w:r>
      <w:r>
        <w:br/>
      </w:r>
      <w:r>
        <w:br/>
      </w:r>
      <w:r>
        <w:rPr>
          <w:rStyle w:val="CommentTok"/>
        </w:rPr>
        <w:t xml:space="preserve"># I use these linear equations to predict the isotopic signature of a brown bear eating 100% of a diet source (y) given the mean isotopic signature of that source (x)</w:t>
      </w:r>
      <w:r>
        <w:br/>
      </w:r>
      <w:r>
        <w:br/>
      </w:r>
      <w:r>
        <w:br/>
      </w:r>
      <w:r>
        <w:rPr>
          <w:rStyle w:val="NormalTok"/>
        </w:rPr>
        <w:t xml:space="preserve">d13C.Mikkelsen </w:t>
      </w:r>
      <w:r>
        <w:rPr>
          <w:rStyle w:val="OtherTok"/>
        </w:rPr>
        <w:t xml:space="preserve">&lt;-</w:t>
      </w:r>
      <w:r>
        <w:rPr>
          <w:rStyle w:val="NormalTok"/>
        </w:rPr>
        <w:t xml:space="preserve"> </w:t>
      </w:r>
      <w:r>
        <w:rPr>
          <w:rStyle w:val="FunctionTok"/>
        </w:rPr>
        <w:t xml:space="preserve">Mikkelsen13C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(d13C.Mikkelsen)</w:t>
      </w:r>
    </w:p>
    <w:p>
      <w:pPr>
        <w:pStyle w:val="SourceCode"/>
      </w:pPr>
      <w:r>
        <w:rPr>
          <w:rStyle w:val="VerbatimChar"/>
        </w:rPr>
        <w:t xml:space="preserve">## [1] -21.61969 -23.08303 -21.94546 -22.03492 -21.81413</w:t>
      </w:r>
    </w:p>
    <w:p>
      <w:pPr>
        <w:pStyle w:val="SourceCode"/>
      </w:pPr>
      <w:r>
        <w:rPr>
          <w:rStyle w:val="CommentTok"/>
        </w:rPr>
        <w:t xml:space="preserve">#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 xml:space="preserve">&lt;-</w:t>
      </w:r>
      <w:r>
        <w:rPr>
          <w:rStyle w:val="FunctionTok"/>
        </w:rPr>
        <w:t xml:space="preserve">abs</w:t>
      </w:r>
      <w:r>
        <w:rPr>
          <w:rStyle w:val="NormalTok"/>
        </w:rPr>
        <w:t xml:space="preserve">(d13C.Mikkelsen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br/>
      </w:r>
      <w:r>
        <w:rPr>
          <w:rStyle w:val="CommentTok"/>
        </w:rPr>
        <w:t xml:space="preserve"># Here are the TDFs for Carbon for ants, bilberries, crowberries, lingonberries, and moose</w:t>
      </w:r>
      <w:r>
        <w:br/>
      </w:r>
      <w:r>
        <w:rPr>
          <w:rStyle w:val="FunctionTok"/>
        </w:rPr>
        <w:t xml:space="preserve">print</w:t>
      </w:r>
      <w:r>
        <w:rPr>
          <w:rStyle w:val="NormalTok"/>
        </w:rPr>
        <w:t xml:space="preserve">(C13TDF.Mikkelsen)</w:t>
      </w:r>
    </w:p>
    <w:p>
      <w:pPr>
        <w:pStyle w:val="SourceCode"/>
      </w:pPr>
      <w:r>
        <w:rPr>
          <w:rStyle w:val="VerbatimChar"/>
        </w:rPr>
        <w:t xml:space="preserve">## [1] 4.617668 6.638470 5.067540 5.191080 4.886174</w:t>
      </w:r>
    </w:p>
    <w:p>
      <w:pPr>
        <w:pStyle w:val="SourceCode"/>
      </w:pPr>
      <w:r>
        <w:rPr>
          <w:rStyle w:val="CommentTok"/>
        </w:rPr>
        <w:t xml:space="preserve"># Now we repeat the process for Nitrogen</w:t>
      </w:r>
      <w:r>
        <w:br/>
      </w:r>
      <w:r>
        <w:br/>
      </w:r>
      <w:r>
        <w:rPr>
          <w:rStyle w:val="NormalTok"/>
        </w:rPr>
        <w:t xml:space="preserve">d15N.Mikkelsen </w:t>
      </w:r>
      <w:r>
        <w:rPr>
          <w:rStyle w:val="OtherTok"/>
        </w:rPr>
        <w:t xml:space="preserve">&lt;-</w:t>
      </w:r>
      <w:r>
        <w:rPr>
          <w:rStyle w:val="NormalTok"/>
        </w:rPr>
        <w:t xml:space="preserve"> </w:t>
      </w:r>
      <w:r>
        <w:rPr>
          <w:rStyle w:val="FunctionTok"/>
        </w:rPr>
        <w:t xml:space="preserve">Mikkelsen15N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(d15N.Mikkelsen)</w:t>
      </w:r>
    </w:p>
    <w:p>
      <w:pPr>
        <w:pStyle w:val="SourceCode"/>
      </w:pPr>
      <w:r>
        <w:rPr>
          <w:rStyle w:val="VerbatimChar"/>
        </w:rPr>
        <w:t xml:space="preserve">## [1]  6.342151  2.680450 -0.289550  1.131100  6.432603</w:t>
      </w:r>
    </w:p>
    <w:p>
      <w:pPr>
        <w:pStyle w:val="SourceCode"/>
      </w:pPr>
      <w:r>
        <w:rPr>
          <w:rStyle w:val="NormalTok"/>
        </w:rPr>
        <w:t xml:space="preserve">N15TDF.Mikkelsen </w:t>
      </w:r>
      <w:r>
        <w:rPr>
          <w:rStyle w:val="OtherTok"/>
        </w:rPr>
        <w:t xml:space="preserve">&lt;-</w:t>
      </w:r>
      <w:r>
        <w:rPr>
          <w:rStyle w:val="NormalTok"/>
        </w:rPr>
        <w:t xml:space="preserve">d15N.Mikkelsen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here we have the TDFs for Nitrogen for ants, bilberries, crowberry, lingonberry, and moose</w:t>
      </w:r>
      <w:r>
        <w:br/>
      </w:r>
      <w:r>
        <w:rPr>
          <w:rStyle w:val="FunctionTok"/>
        </w:rPr>
        <w:t xml:space="preserve">print</w:t>
      </w:r>
      <w:r>
        <w:rPr>
          <w:rStyle w:val="NormalTok"/>
        </w:rPr>
        <w:t xml:space="preserve">(N15TDF.Mikkelsen)</w:t>
      </w:r>
    </w:p>
    <w:p>
      <w:pPr>
        <w:pStyle w:val="SourceCode"/>
      </w:pPr>
      <w:r>
        <w:rPr>
          <w:rStyle w:val="VerbatimChar"/>
        </w:rPr>
        <w:t xml:space="preserve">## [1] 4.873094 5.279950 5.609950 5.452100 4.863044</w:t>
      </w:r>
    </w:p>
    <w:p>
      <w:pPr>
        <w:pStyle w:val="FirstParagraph"/>
      </w:pPr>
      <w:r>
        <w:t xml:space="preserve">Prior to running our model, I performed a check that my consumers fall</w:t>
      </w:r>
      <w:r>
        <w:t xml:space="preserve"> </w:t>
      </w:r>
      <w:r>
        <w:t xml:space="preserve">within the mixing space</w:t>
      </w:r>
    </w:p>
    <w:p>
      <w:pPr>
        <w:pStyle w:val="SourceCode"/>
      </w:pPr>
      <w:r>
        <w:rPr>
          <w:rStyle w:val="VerbatimChar"/>
        </w:rPr>
        <w:t xml:space="preserve">##      C13TDF.Mikkelsen N15TDF.Mikkelsen</w:t>
      </w:r>
      <w:r>
        <w:br/>
      </w:r>
      <w:r>
        <w:rPr>
          <w:rStyle w:val="VerbatimChar"/>
        </w:rPr>
        <w:t xml:space="preserve">## [1,]         4.617668         4.873094</w:t>
      </w:r>
      <w:r>
        <w:br/>
      </w:r>
      <w:r>
        <w:rPr>
          <w:rStyle w:val="VerbatimChar"/>
        </w:rPr>
        <w:t xml:space="preserve">## [2,]         6.638470         5.279950</w:t>
      </w:r>
      <w:r>
        <w:br/>
      </w:r>
      <w:r>
        <w:rPr>
          <w:rStyle w:val="VerbatimChar"/>
        </w:rPr>
        <w:t xml:space="preserve">## [3,]         5.067540         5.609950</w:t>
      </w:r>
      <w:r>
        <w:br/>
      </w:r>
      <w:r>
        <w:rPr>
          <w:rStyle w:val="VerbatimChar"/>
        </w:rPr>
        <w:t xml:space="preserve">## [4,]         5.191080         5.452100</w:t>
      </w:r>
      <w:r>
        <w:br/>
      </w:r>
      <w:r>
        <w:rPr>
          <w:rStyle w:val="VerbatimChar"/>
        </w:rPr>
        <w:t xml:space="preserve">## [5,]         4.886174         4.863044</w:t>
      </w:r>
    </w:p>
    <w:p>
      <w:pPr>
        <w:pStyle w:val="FirstParagraph"/>
      </w:pPr>
      <w:r>
        <w:drawing>
          <wp:inline>
            <wp:extent cx="4620126" cy="3696101"/>
            <wp:effectExtent b="0" l="0" r="0" t="0"/>
            <wp:docPr descr="" title="" id="21" name="Picture"/>
            <a:graphic>
              <a:graphicData uri="http://schemas.openxmlformats.org/drawingml/2006/picture">
                <pic:pic>
                  <pic:nvPicPr>
                    <pic:cNvPr descr="EstimateSensitivitytoTDFs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run the model and examine output</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3619.477 3.581</w:t>
      </w:r>
      <w:r>
        <w:br/>
      </w:r>
      <w:r>
        <w:rPr>
          <w:rStyle w:val="VerbatimChar"/>
        </w:rPr>
        <w:t xml:space="preserve">## Ants           0.064 0.005</w:t>
      </w:r>
      <w:r>
        <w:br/>
      </w:r>
      <w:r>
        <w:rPr>
          <w:rStyle w:val="VerbatimChar"/>
        </w:rPr>
        <w:t xml:space="preserve">## Bilberry       0.507 0.013</w:t>
      </w:r>
      <w:r>
        <w:br/>
      </w:r>
      <w:r>
        <w:rPr>
          <w:rStyle w:val="VerbatimChar"/>
        </w:rPr>
        <w:t xml:space="preserve">## Crowberry      0.115 0.019</w:t>
      </w:r>
      <w:r>
        <w:br/>
      </w:r>
      <w:r>
        <w:rPr>
          <w:rStyle w:val="VerbatimChar"/>
        </w:rPr>
        <w:t xml:space="preserve">## Lingonberry    0.271 0.022</w:t>
      </w:r>
      <w:r>
        <w:br/>
      </w:r>
      <w:r>
        <w:rPr>
          <w:rStyle w:val="VerbatimChar"/>
        </w:rPr>
        <w:t xml:space="preserve">## Moose          0.043 0.003</w:t>
      </w:r>
      <w:r>
        <w:br/>
      </w:r>
      <w:r>
        <w:rPr>
          <w:rStyle w:val="VerbatimChar"/>
        </w:rPr>
        <w:t xml:space="preserve">## sd[d13C]       0.034 0.026</w:t>
      </w:r>
      <w:r>
        <w:br/>
      </w:r>
      <w:r>
        <w:rPr>
          <w:rStyle w:val="VerbatimChar"/>
        </w:rPr>
        <w:t xml:space="preserve">## sd[d15N]       0.039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3614.579 3616.836 3618.802 3621.447 3628.278</w:t>
      </w:r>
      <w:r>
        <w:br/>
      </w:r>
      <w:r>
        <w:rPr>
          <w:rStyle w:val="VerbatimChar"/>
        </w:rPr>
        <w:t xml:space="preserve">## Ants           0.054    0.061    0.064    0.067    0.074</w:t>
      </w:r>
      <w:r>
        <w:br/>
      </w:r>
      <w:r>
        <w:rPr>
          <w:rStyle w:val="VerbatimChar"/>
        </w:rPr>
        <w:t xml:space="preserve">## Bilberry       0.481    0.498    0.507    0.516    0.533</w:t>
      </w:r>
      <w:r>
        <w:br/>
      </w:r>
      <w:r>
        <w:rPr>
          <w:rStyle w:val="VerbatimChar"/>
        </w:rPr>
        <w:t xml:space="preserve">## Crowberry      0.079    0.102    0.115    0.128    0.154</w:t>
      </w:r>
      <w:r>
        <w:br/>
      </w:r>
      <w:r>
        <w:rPr>
          <w:rStyle w:val="VerbatimChar"/>
        </w:rPr>
        <w:t xml:space="preserve">## Lingonberry    0.229    0.256    0.271    0.285    0.314</w:t>
      </w:r>
      <w:r>
        <w:br/>
      </w:r>
      <w:r>
        <w:rPr>
          <w:rStyle w:val="VerbatimChar"/>
        </w:rPr>
        <w:t xml:space="preserve">## Moose          0.037    0.041    0.043    0.046    0.050</w:t>
      </w:r>
      <w:r>
        <w:br/>
      </w:r>
      <w:r>
        <w:rPr>
          <w:rStyle w:val="VerbatimChar"/>
        </w:rPr>
        <w:t xml:space="preserve">## sd[d13C]       0.001    0.013    0.028    0.048    0.096</w:t>
      </w:r>
      <w:r>
        <w:br/>
      </w:r>
      <w:r>
        <w:rPr>
          <w:rStyle w:val="VerbatimChar"/>
        </w:rPr>
        <w:t xml:space="preserve">## sd[d15N]       0.002    0.016    0.033    0.057    0.107</w:t>
      </w:r>
    </w:p>
    <w:p>
      <w:pPr>
        <w:pStyle w:val="FirstParagraph"/>
      </w:pPr>
      <w:r>
        <w:drawing>
          <wp:inline>
            <wp:extent cx="4620126" cy="3696101"/>
            <wp:effectExtent b="0" l="0" r="0" t="0"/>
            <wp:docPr descr="" title="" id="24" name="Picture"/>
            <a:graphic>
              <a:graphicData uri="http://schemas.openxmlformats.org/drawingml/2006/picture">
                <pic:pic>
                  <pic:nvPicPr>
                    <pic:cNvPr descr="EstimateSensitivitytoTDFs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from this model is the same as the output from determining</w:t>
      </w:r>
      <w:r>
        <w:t xml:space="preserve"> </w:t>
      </w:r>
      <w:r>
        <w:t xml:space="preserve">whether to group diet sources, because so far the model specifications</w:t>
      </w:r>
      <w:r>
        <w:t xml:space="preserve"> </w:t>
      </w:r>
      <w:r>
        <w:t xml:space="preserve">are identical</w:t>
      </w:r>
    </w:p>
    <w:p>
      <w:pPr>
        <w:pStyle w:val="BodyText"/>
      </w:pPr>
      <w:r>
        <w:t xml:space="preserve">We see from the Gelman diagnostics that the model has converged and we</w:t>
      </w:r>
      <w:r>
        <w:t xml:space="preserve"> </w:t>
      </w:r>
      <w:r>
        <w:t xml:space="preserve">can look at the dieatary proportion estimates and the uncertainty around</w:t>
      </w:r>
      <w:r>
        <w:t xml:space="preserve"> </w:t>
      </w:r>
      <w:r>
        <w:t xml:space="preserve">those estimates. And then see the estimates and uncertainty graphically.</w:t>
      </w:r>
    </w:p>
    <w:bookmarkEnd w:id="26"/>
    <w:bookmarkStart w:id="36" w:name="Xd1ffd309713e2dbf361daa7bd1c59bfd6456e3d"/>
    <w:p>
      <w:pPr>
        <w:pStyle w:val="Heading5"/>
      </w:pPr>
      <w:r>
        <w:t xml:space="preserve">Now I use the same methods and work flow as above to calculate TDFs derived from the linear equation in Hilerbrand et al. 1996 and estimate dietary estimates for the same source and mixture data.</w:t>
      </w:r>
    </w:p>
    <w:p>
      <w:pPr>
        <w:pStyle w:val="SourceCode"/>
      </w:pPr>
      <w:r>
        <w:rPr>
          <w:rStyle w:val="NormalTok"/>
        </w:rPr>
        <w:t xml:space="preserve">Hilderbrand13C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10.34</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Hilderbrand15N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4.76</w:t>
      </w:r>
      <w:r>
        <w:rPr>
          <w:rStyle w:val="SpecialCharTok"/>
        </w:rPr>
        <w:t xml:space="preserve">+</w:t>
      </w:r>
      <w:r>
        <w:rPr>
          <w:rStyle w:val="NormalTok"/>
        </w:rPr>
        <w:t xml:space="preserve">(</w:t>
      </w:r>
      <w:r>
        <w:rPr>
          <w:rStyle w:val="FloatTok"/>
        </w:rPr>
        <w:t xml:space="preserve">0.91</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d13C.Hilderbrand </w:t>
      </w:r>
      <w:r>
        <w:rPr>
          <w:rStyle w:val="OtherTok"/>
        </w:rPr>
        <w:t xml:space="preserve">&lt;-</w:t>
      </w:r>
      <w:r>
        <w:rPr>
          <w:rStyle w:val="NormalTok"/>
        </w:rPr>
        <w:t xml:space="preserve"> </w:t>
      </w:r>
      <w:r>
        <w:rPr>
          <w:rStyle w:val="FunctionTok"/>
        </w:rPr>
        <w:t xml:space="preserve">Hilderbrand13C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(d13C.Hilderbrand)</w:t>
      </w:r>
    </w:p>
    <w:p>
      <w:pPr>
        <w:pStyle w:val="SourceCode"/>
      </w:pPr>
      <w:r>
        <w:rPr>
          <w:rStyle w:val="VerbatimChar"/>
        </w:rPr>
        <w:t xml:space="preserve">## [1] -21.35969 -22.82303 -21.68546 -21.77492 -21.55413</w:t>
      </w:r>
    </w:p>
    <w:p>
      <w:pPr>
        <w:pStyle w:val="SourceCode"/>
      </w:pPr>
      <w:r>
        <w:rPr>
          <w:rStyle w:val="NormalTok"/>
        </w:rPr>
        <w:t xml:space="preserve">C13TDF.Hilderbrand </w:t>
      </w:r>
      <w:r>
        <w:rPr>
          <w:rStyle w:val="OtherTok"/>
        </w:rPr>
        <w:t xml:space="preserve">&lt;-</w:t>
      </w:r>
      <w:r>
        <w:rPr>
          <w:rStyle w:val="FunctionTok"/>
        </w:rPr>
        <w:t xml:space="preserve">abs</w:t>
      </w:r>
      <w:r>
        <w:rPr>
          <w:rStyle w:val="NormalTok"/>
        </w:rPr>
        <w:t xml:space="preserve">(d13C.Hilderbrand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#Here are our Carbon TDFs for ants, bilberries, crowberries, lingonberries, and moose</w:t>
      </w:r>
      <w:r>
        <w:br/>
      </w:r>
      <w:r>
        <w:rPr>
          <w:rStyle w:val="FunctionTok"/>
        </w:rPr>
        <w:t xml:space="preserve">print</w:t>
      </w:r>
      <w:r>
        <w:rPr>
          <w:rStyle w:val="NormalTok"/>
        </w:rPr>
        <w:t xml:space="preserve">(C13TDF.Hilderbrand)</w:t>
      </w:r>
    </w:p>
    <w:p>
      <w:pPr>
        <w:pStyle w:val="SourceCode"/>
      </w:pPr>
      <w:r>
        <w:rPr>
          <w:rStyle w:val="VerbatimChar"/>
        </w:rPr>
        <w:t xml:space="preserve">## [1] 4.877668 6.898470 5.327540 5.451080 5.146174</w:t>
      </w:r>
    </w:p>
    <w:p>
      <w:pPr>
        <w:pStyle w:val="SourceCode"/>
      </w:pPr>
      <w:r>
        <w:rPr>
          <w:rStyle w:val="NormalTok"/>
        </w:rPr>
        <w:t xml:space="preserve">d15N.Hilderbrand </w:t>
      </w:r>
      <w:r>
        <w:rPr>
          <w:rStyle w:val="OtherTok"/>
        </w:rPr>
        <w:t xml:space="preserve">&lt;-</w:t>
      </w:r>
      <w:r>
        <w:rPr>
          <w:rStyle w:val="NormalTok"/>
        </w:rPr>
        <w:t xml:space="preserve"> </w:t>
      </w:r>
      <w:r>
        <w:rPr>
          <w:rStyle w:val="FunctionTok"/>
        </w:rPr>
        <w:t xml:space="preserve">Hilderbrand15N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(d15N.Hilderbrand)</w:t>
      </w:r>
    </w:p>
    <w:p>
      <w:pPr>
        <w:pStyle w:val="SourceCode"/>
      </w:pPr>
      <w:r>
        <w:rPr>
          <w:rStyle w:val="VerbatimChar"/>
        </w:rPr>
        <w:t xml:space="preserve">## [1]  6.096842  2.394455 -0.608545  0.827890  6.188299</w:t>
      </w:r>
    </w:p>
    <w:p>
      <w:pPr>
        <w:pStyle w:val="SourceCode"/>
      </w:pPr>
      <w:r>
        <w:rPr>
          <w:rStyle w:val="NormalTok"/>
        </w:rPr>
        <w:t xml:space="preserve">N15TDF.Hilderbrand </w:t>
      </w:r>
      <w:r>
        <w:rPr>
          <w:rStyle w:val="OtherTok"/>
        </w:rPr>
        <w:t xml:space="preserve">&lt;-</w:t>
      </w:r>
      <w:r>
        <w:rPr>
          <w:rStyle w:val="NormalTok"/>
        </w:rPr>
        <w:t xml:space="preserve">d15N.Hilderbrand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#Here are the calculated Nitrogen TDFs for ants, bilberry crowberry, lingonberry, and moose</w:t>
      </w:r>
      <w:r>
        <w:br/>
      </w:r>
      <w:r>
        <w:rPr>
          <w:rStyle w:val="FunctionTok"/>
        </w:rPr>
        <w:t xml:space="preserve">print</w:t>
      </w:r>
      <w:r>
        <w:rPr>
          <w:rStyle w:val="NormalTok"/>
        </w:rPr>
        <w:t xml:space="preserve">(N15TDF.Hilderbrand)</w:t>
      </w:r>
    </w:p>
    <w:p>
      <w:pPr>
        <w:pStyle w:val="SourceCode"/>
      </w:pPr>
      <w:r>
        <w:rPr>
          <w:rStyle w:val="VerbatimChar"/>
        </w:rPr>
        <w:t xml:space="preserve">## [1] 4.627785 4.993955 5.290955 5.148890 4.618740</w:t>
      </w:r>
    </w:p>
    <w:p>
      <w:pPr>
        <w:pStyle w:val="SourceCode"/>
      </w:pPr>
      <w:r>
        <w:rPr>
          <w:rStyle w:val="NormalTok"/>
        </w:rPr>
        <w:t xml:space="preserve">bear_speciesTDF_means.Hilderbrand </w:t>
      </w:r>
      <w:r>
        <w:rPr>
          <w:rStyle w:val="OtherTok"/>
        </w:rPr>
        <w:t xml:space="preserve">&lt;-</w:t>
      </w:r>
      <w:r>
        <w:rPr>
          <w:rStyle w:val="NormalTok"/>
        </w:rPr>
        <w:t xml:space="preserve"> </w:t>
      </w:r>
      <w:r>
        <w:rPr>
          <w:rStyle w:val="FunctionTok"/>
        </w:rPr>
        <w:t xml:space="preserve">cbind</w:t>
      </w:r>
      <w:r>
        <w:rPr>
          <w:rStyle w:val="NormalTok"/>
        </w:rPr>
        <w:t xml:space="preserve">(C13TDF.Hilderbrand,N15TDF.Hilderbrand)</w:t>
      </w:r>
      <w:r>
        <w:br/>
      </w:r>
      <w:r>
        <w:rPr>
          <w:rStyle w:val="FunctionTok"/>
        </w:rPr>
        <w:t xml:space="preserve">print</w:t>
      </w:r>
      <w:r>
        <w:rPr>
          <w:rStyle w:val="NormalTok"/>
        </w:rPr>
        <w:t xml:space="preserve">(bear_speciesTDF_means.Hilderbrand)</w:t>
      </w:r>
    </w:p>
    <w:p>
      <w:pPr>
        <w:pStyle w:val="SourceCode"/>
      </w:pPr>
      <w:r>
        <w:rPr>
          <w:rStyle w:val="VerbatimChar"/>
        </w:rPr>
        <w:t xml:space="preserve">##      C13TDF.Hilderbrand N15TDF.Hilderbrand</w:t>
      </w:r>
      <w:r>
        <w:br/>
      </w:r>
      <w:r>
        <w:rPr>
          <w:rStyle w:val="VerbatimChar"/>
        </w:rPr>
        <w:t xml:space="preserve">## [1,]           4.877668           4.627785</w:t>
      </w:r>
      <w:r>
        <w:br/>
      </w:r>
      <w:r>
        <w:rPr>
          <w:rStyle w:val="VerbatimChar"/>
        </w:rPr>
        <w:t xml:space="preserve">## [2,]           6.898470           4.993955</w:t>
      </w:r>
      <w:r>
        <w:br/>
      </w:r>
      <w:r>
        <w:rPr>
          <w:rStyle w:val="VerbatimChar"/>
        </w:rPr>
        <w:t xml:space="preserve">## [3,]           5.327540           5.290955</w:t>
      </w:r>
      <w:r>
        <w:br/>
      </w:r>
      <w:r>
        <w:rPr>
          <w:rStyle w:val="VerbatimChar"/>
        </w:rPr>
        <w:t xml:space="preserve">## [4,]           5.451080           5.148890</w:t>
      </w:r>
      <w:r>
        <w:br/>
      </w:r>
      <w:r>
        <w:rPr>
          <w:rStyle w:val="VerbatimChar"/>
        </w:rPr>
        <w:t xml:space="preserve">## [5,]           5.146174           4.618740</w:t>
      </w:r>
    </w:p>
    <w:p>
      <w:pPr>
        <w:pStyle w:val="SourceCode"/>
      </w:pPr>
      <w:r>
        <w:rPr>
          <w:rStyle w:val="NormalTok"/>
        </w:rPr>
        <w:t xml:space="preserve">bearsimmr_TDF_Hilderbrand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bear_speciesTDF_means.Hilderbrand,</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(bearsimmr_TDF_Hilderbrand)</w:t>
      </w:r>
    </w:p>
    <w:p>
      <w:pPr>
        <w:pStyle w:val="FirstParagraph"/>
      </w:pPr>
      <w:r>
        <w:drawing>
          <wp:inline>
            <wp:extent cx="4620126" cy="3696101"/>
            <wp:effectExtent b="0" l="0" r="0" t="0"/>
            <wp:docPr descr="" title="" id="28" name="Picture"/>
            <a:graphic>
              <a:graphicData uri="http://schemas.openxmlformats.org/drawingml/2006/picture">
                <pic:pic>
                  <pic:nvPicPr>
                    <pic:cNvPr descr="EstimateSensitivitytoTDFs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different TDFs cacluted from Hilderbrand’s</w:t>
      </w:r>
      <w:r>
        <w:t xml:space="preserve"> </w:t>
      </w:r>
      <w:r>
        <w:t xml:space="preserve">linear equation have created a different mixing space, but our mixtures</w:t>
      </w:r>
      <w:r>
        <w:t xml:space="preserve"> </w:t>
      </w:r>
      <w:r>
        <w:t xml:space="preserve">(consumers) still fall within the mixing polygon.</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3920.852 3.469</w:t>
      </w:r>
      <w:r>
        <w:br/>
      </w:r>
      <w:r>
        <w:rPr>
          <w:rStyle w:val="VerbatimChar"/>
        </w:rPr>
        <w:t xml:space="preserve">## Ants           0.078 0.006</w:t>
      </w:r>
      <w:r>
        <w:br/>
      </w:r>
      <w:r>
        <w:rPr>
          <w:rStyle w:val="VerbatimChar"/>
        </w:rPr>
        <w:t xml:space="preserve">## Bilberry       0.622 0.013</w:t>
      </w:r>
      <w:r>
        <w:br/>
      </w:r>
      <w:r>
        <w:rPr>
          <w:rStyle w:val="VerbatimChar"/>
        </w:rPr>
        <w:t xml:space="preserve">## Crowberry      0.045 0.018</w:t>
      </w:r>
      <w:r>
        <w:br/>
      </w:r>
      <w:r>
        <w:rPr>
          <w:rStyle w:val="VerbatimChar"/>
        </w:rPr>
        <w:t xml:space="preserve">## Lingonberry    0.199 0.023</w:t>
      </w:r>
      <w:r>
        <w:br/>
      </w:r>
      <w:r>
        <w:rPr>
          <w:rStyle w:val="VerbatimChar"/>
        </w:rPr>
        <w:t xml:space="preserve">## Moose          0.056 0.004</w:t>
      </w:r>
      <w:r>
        <w:br/>
      </w:r>
      <w:r>
        <w:rPr>
          <w:rStyle w:val="VerbatimChar"/>
        </w:rPr>
        <w:t xml:space="preserve">## sd[d13C]       0.042 0.031</w:t>
      </w:r>
      <w:r>
        <w:br/>
      </w:r>
      <w:r>
        <w:rPr>
          <w:rStyle w:val="VerbatimChar"/>
        </w:rPr>
        <w:t xml:space="preserve">## sd[d15N]       0.038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3916.181 3918.270 3920.205 3922.632 3929.099</w:t>
      </w:r>
      <w:r>
        <w:br/>
      </w:r>
      <w:r>
        <w:rPr>
          <w:rStyle w:val="VerbatimChar"/>
        </w:rPr>
        <w:t xml:space="preserve">## Ants           0.067    0.074    0.078    0.082    0.090</w:t>
      </w:r>
      <w:r>
        <w:br/>
      </w:r>
      <w:r>
        <w:rPr>
          <w:rStyle w:val="VerbatimChar"/>
        </w:rPr>
        <w:t xml:space="preserve">## Bilberry       0.596    0.613    0.622    0.631    0.649</w:t>
      </w:r>
      <w:r>
        <w:br/>
      </w:r>
      <w:r>
        <w:rPr>
          <w:rStyle w:val="VerbatimChar"/>
        </w:rPr>
        <w:t xml:space="preserve">## Crowberry      0.014    0.031    0.043    0.057    0.084</w:t>
      </w:r>
      <w:r>
        <w:br/>
      </w:r>
      <w:r>
        <w:rPr>
          <w:rStyle w:val="VerbatimChar"/>
        </w:rPr>
        <w:t xml:space="preserve">## Lingonberry    0.153    0.184    0.200    0.216    0.242</w:t>
      </w:r>
      <w:r>
        <w:br/>
      </w:r>
      <w:r>
        <w:rPr>
          <w:rStyle w:val="VerbatimChar"/>
        </w:rPr>
        <w:t xml:space="preserve">## Moose          0.048    0.053    0.056    0.058    0.063</w:t>
      </w:r>
      <w:r>
        <w:br/>
      </w:r>
      <w:r>
        <w:rPr>
          <w:rStyle w:val="VerbatimChar"/>
        </w:rPr>
        <w:t xml:space="preserve">## sd[d13C]       0.001    0.017    0.035    0.060    0.117</w:t>
      </w:r>
      <w:r>
        <w:br/>
      </w:r>
      <w:r>
        <w:rPr>
          <w:rStyle w:val="VerbatimChar"/>
        </w:rPr>
        <w:t xml:space="preserve">## sd[d15N]       0.001    0.015    0.032    0.055    0.107</w:t>
      </w:r>
    </w:p>
    <w:p>
      <w:pPr>
        <w:pStyle w:val="FirstParagraph"/>
      </w:pPr>
      <w:r>
        <w:drawing>
          <wp:inline>
            <wp:extent cx="4620126" cy="3696101"/>
            <wp:effectExtent b="0" l="0" r="0" t="0"/>
            <wp:docPr descr="" title="" id="31" name="Picture"/>
            <a:graphic>
              <a:graphicData uri="http://schemas.openxmlformats.org/drawingml/2006/picture">
                <pic:pic>
                  <pic:nvPicPr>
                    <pic:cNvPr descr="EstimateSensitivitytoTDFs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EstimateSensitivitytoTDFs_files/figure-docx/unnamed-chunk-13-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also converges and we con compare estimates and uncertainty</w:t>
      </w:r>
      <w:r>
        <w:t xml:space="preserve"> </w:t>
      </w:r>
      <w:r>
        <w:t xml:space="preserve">given these TDFs. While the actual proportion estimates are similar</w:t>
      </w:r>
      <w:r>
        <w:t xml:space="preserve"> </w:t>
      </w:r>
      <w:r>
        <w:t xml:space="preserve">between the two models, the estimates using Hilerbrand TDFs have more</w:t>
      </w:r>
      <w:r>
        <w:t xml:space="preserve"> </w:t>
      </w:r>
      <w:r>
        <w:t xml:space="preserve">variance around than the estimates using the Mikkelsen TDFs. In</w:t>
      </w:r>
      <w:r>
        <w:t xml:space="preserve"> </w:t>
      </w:r>
      <w:r>
        <w:t xml:space="preserve">addition, the negative variances have increased, both between the</w:t>
      </w:r>
      <w:r>
        <w:t xml:space="preserve"> </w:t>
      </w:r>
      <w:r>
        <w:t xml:space="preserve">Nitrogen sources, as well as between the berry species.</w:t>
      </w:r>
    </w:p>
    <w:bookmarkEnd w:id="36"/>
    <w:bookmarkStart w:id="43" w:name="X95b69544b744105635415f24b997d0bd23553c9"/>
    <w:p>
      <w:pPr>
        <w:pStyle w:val="Heading5"/>
      </w:pPr>
      <w:r>
        <w:t xml:space="preserve">We now move on to calculating TDFs using the linear equation from Felicetti et al. 2003 and using those TDFs to estimate diet of our brown bears.</w:t>
      </w:r>
    </w:p>
    <w:p>
      <w:pPr>
        <w:pStyle w:val="SourceCode"/>
      </w:pPr>
      <w:r>
        <w:rPr>
          <w:rStyle w:val="NormalTok"/>
        </w:rPr>
        <w:t xml:space="preserve">Felicetti13C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10.86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Felicetti15N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5.28</w:t>
      </w:r>
      <w:r>
        <w:rPr>
          <w:rStyle w:val="SpecialCharTok"/>
        </w:rPr>
        <w:t xml:space="preserve">+</w:t>
      </w:r>
      <w:r>
        <w:rPr>
          <w:rStyle w:val="NormalTok"/>
        </w:rPr>
        <w:t xml:space="preserve">(</w:t>
      </w:r>
      <w:r>
        <w:rPr>
          <w:rStyle w:val="FloatTok"/>
        </w:rPr>
        <w:t xml:space="preserve">0.88</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d13C.Felicetti </w:t>
      </w:r>
      <w:r>
        <w:rPr>
          <w:rStyle w:val="OtherTok"/>
        </w:rPr>
        <w:t xml:space="preserve">&lt;-</w:t>
      </w:r>
      <w:r>
        <w:rPr>
          <w:rStyle w:val="NormalTok"/>
        </w:rPr>
        <w:t xml:space="preserve"> </w:t>
      </w:r>
      <w:r>
        <w:rPr>
          <w:rStyle w:val="FunctionTok"/>
        </w:rPr>
        <w:t xml:space="preserve">Felicetti13C</w:t>
      </w:r>
      <w:r>
        <w:rPr>
          <w:rStyle w:val="NormalTok"/>
        </w:rPr>
        <w:t xml:space="preserve">(bears_species_means</w:t>
      </w:r>
      <w:r>
        <w:rPr>
          <w:rStyle w:val="SpecialCharTok"/>
        </w:rPr>
        <w:t xml:space="preserve">$</w:t>
      </w:r>
      <w:r>
        <w:rPr>
          <w:rStyle w:val="NormalTok"/>
        </w:rPr>
        <w:t xml:space="preserve">mean13C)</w:t>
      </w:r>
      <w:r>
        <w:br/>
      </w:r>
      <w:r>
        <w:rPr>
          <w:rStyle w:val="NormalTok"/>
        </w:rPr>
        <w:t xml:space="preserve">C13TDF.Felicetti </w:t>
      </w:r>
      <w:r>
        <w:rPr>
          <w:rStyle w:val="OtherTok"/>
        </w:rPr>
        <w:t xml:space="preserve">&lt;-</w:t>
      </w:r>
      <w:r>
        <w:rPr>
          <w:rStyle w:val="FunctionTok"/>
        </w:rPr>
        <w:t xml:space="preserve">abs</w:t>
      </w:r>
      <w:r>
        <w:rPr>
          <w:rStyle w:val="NormalTok"/>
        </w:rPr>
        <w:t xml:space="preserve">(d13C.Felicetti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 Here are the Carbon TDFs from Felicetti's equation for ants, bilberry, crowberry, lingonberry, and moose</w:t>
      </w:r>
      <w:r>
        <w:br/>
      </w:r>
      <w:r>
        <w:rPr>
          <w:rStyle w:val="FunctionTok"/>
        </w:rPr>
        <w:t xml:space="preserve">print</w:t>
      </w:r>
      <w:r>
        <w:rPr>
          <w:rStyle w:val="NormalTok"/>
        </w:rPr>
        <w:t xml:space="preserve">(C13TDF.Felicetti)</w:t>
      </w:r>
    </w:p>
    <w:p>
      <w:pPr>
        <w:pStyle w:val="SourceCode"/>
      </w:pPr>
      <w:r>
        <w:rPr>
          <w:rStyle w:val="VerbatimChar"/>
        </w:rPr>
        <w:t xml:space="preserve">## [1] 4.357668 6.378470 4.807540 4.931080 4.626174</w:t>
      </w:r>
    </w:p>
    <w:p>
      <w:pPr>
        <w:pStyle w:val="SourceCode"/>
      </w:pPr>
      <w:r>
        <w:rPr>
          <w:rStyle w:val="NormalTok"/>
        </w:rPr>
        <w:t xml:space="preserve">d15N.Felicetti </w:t>
      </w:r>
      <w:r>
        <w:rPr>
          <w:rStyle w:val="OtherTok"/>
        </w:rPr>
        <w:t xml:space="preserve">&lt;-</w:t>
      </w:r>
      <w:r>
        <w:rPr>
          <w:rStyle w:val="NormalTok"/>
        </w:rPr>
        <w:t xml:space="preserve"> </w:t>
      </w:r>
      <w:r>
        <w:rPr>
          <w:rStyle w:val="FunctionTok"/>
        </w:rPr>
        <w:t xml:space="preserve">Felicetti15N</w:t>
      </w:r>
      <w:r>
        <w:rPr>
          <w:rStyle w:val="NormalTok"/>
        </w:rPr>
        <w:t xml:space="preserve">(bears_species_means</w:t>
      </w:r>
      <w:r>
        <w:rPr>
          <w:rStyle w:val="SpecialCharTok"/>
        </w:rPr>
        <w:t xml:space="preserve">$</w:t>
      </w:r>
      <w:r>
        <w:rPr>
          <w:rStyle w:val="NormalTok"/>
        </w:rPr>
        <w:t xml:space="preserve">mean15N)</w:t>
      </w:r>
      <w:r>
        <w:br/>
      </w:r>
      <w:r>
        <w:rPr>
          <w:rStyle w:val="NormalTok"/>
        </w:rPr>
        <w:t xml:space="preserve">N15TDF.Felicetti </w:t>
      </w:r>
      <w:r>
        <w:rPr>
          <w:rStyle w:val="OtherTok"/>
        </w:rPr>
        <w:t xml:space="preserve">&lt;-</w:t>
      </w:r>
      <w:r>
        <w:rPr>
          <w:rStyle w:val="NormalTok"/>
        </w:rPr>
        <w:t xml:space="preserve">d15N.Felicetti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the TDFs for Nitrogen for ants, bilberry, crowberry, lingonberry, and moose</w:t>
      </w:r>
      <w:r>
        <w:br/>
      </w:r>
      <w:r>
        <w:rPr>
          <w:rStyle w:val="NormalTok"/>
        </w:rPr>
        <w:t xml:space="preserve">N15TDF.Felicetti</w:t>
      </w:r>
    </w:p>
    <w:p>
      <w:pPr>
        <w:pStyle w:val="SourceCode"/>
      </w:pPr>
      <w:r>
        <w:rPr>
          <w:rStyle w:val="VerbatimChar"/>
        </w:rPr>
        <w:t xml:space="preserve">## [1] 5.103713 5.591940 5.987940 5.798520 5.091653</w:t>
      </w:r>
    </w:p>
    <w:p>
      <w:pPr>
        <w:pStyle w:val="FirstParagraph"/>
      </w:pPr>
      <w:r>
        <w:t xml:space="preserve">Again, the different TDFs have rendered a different mixing space, but</w:t>
      </w:r>
      <w:r>
        <w:t xml:space="preserve"> </w:t>
      </w:r>
      <w:r>
        <w:t xml:space="preserve">out mixtures (consumers) are still within that space</w:t>
      </w:r>
    </w:p>
    <w:p>
      <w:pPr>
        <w:pStyle w:val="BodyText"/>
      </w:pPr>
      <w:r>
        <w:t xml:space="preserve">Convergence looks good and we have the model estimate means for each</w:t>
      </w:r>
      <w:r>
        <w:t xml:space="preserve"> </w:t>
      </w:r>
      <w:r>
        <w:t xml:space="preserve">diet source, variance around those estimates and the residual model</w:t>
      </w:r>
      <w:r>
        <w:t xml:space="preserve"> </w:t>
      </w:r>
      <w:r>
        <w:t xml:space="preserve">variance</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3342.646 3.593</w:t>
      </w:r>
      <w:r>
        <w:br/>
      </w:r>
      <w:r>
        <w:rPr>
          <w:rStyle w:val="VerbatimChar"/>
        </w:rPr>
        <w:t xml:space="preserve">## Ants           0.054 0.004</w:t>
      </w:r>
      <w:r>
        <w:br/>
      </w:r>
      <w:r>
        <w:rPr>
          <w:rStyle w:val="VerbatimChar"/>
        </w:rPr>
        <w:t xml:space="preserve">## Bilberry       0.399 0.013</w:t>
      </w:r>
      <w:r>
        <w:br/>
      </w:r>
      <w:r>
        <w:rPr>
          <w:rStyle w:val="VerbatimChar"/>
        </w:rPr>
        <w:t xml:space="preserve">## Crowberry      0.184 0.017</w:t>
      </w:r>
      <w:r>
        <w:br/>
      </w:r>
      <w:r>
        <w:rPr>
          <w:rStyle w:val="VerbatimChar"/>
        </w:rPr>
        <w:t xml:space="preserve">## Lingonberry    0.329 0.018</w:t>
      </w:r>
      <w:r>
        <w:br/>
      </w:r>
      <w:r>
        <w:rPr>
          <w:rStyle w:val="VerbatimChar"/>
        </w:rPr>
        <w:t xml:space="preserve">## Moose          0.034 0.003</w:t>
      </w:r>
      <w:r>
        <w:br/>
      </w:r>
      <w:r>
        <w:rPr>
          <w:rStyle w:val="VerbatimChar"/>
        </w:rPr>
        <w:t xml:space="preserve">## sd[d13C]       0.028 0.021</w:t>
      </w:r>
      <w:r>
        <w:br/>
      </w:r>
      <w:r>
        <w:rPr>
          <w:rStyle w:val="VerbatimChar"/>
        </w:rPr>
        <w:t xml:space="preserve">## sd[d15N]       0.039 0.030</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3337.671 3340.078 3341.973 3344.505 3351.478</w:t>
      </w:r>
      <w:r>
        <w:br/>
      </w:r>
      <w:r>
        <w:rPr>
          <w:rStyle w:val="VerbatimChar"/>
        </w:rPr>
        <w:t xml:space="preserve">## Ants           0.046    0.051    0.054    0.057    0.062</w:t>
      </w:r>
      <w:r>
        <w:br/>
      </w:r>
      <w:r>
        <w:rPr>
          <w:rStyle w:val="VerbatimChar"/>
        </w:rPr>
        <w:t xml:space="preserve">## Bilberry       0.374    0.391    0.399    0.408    0.424</w:t>
      </w:r>
      <w:r>
        <w:br/>
      </w:r>
      <w:r>
        <w:rPr>
          <w:rStyle w:val="VerbatimChar"/>
        </w:rPr>
        <w:t xml:space="preserve">## Crowberry      0.151    0.173    0.184    0.195    0.217</w:t>
      </w:r>
      <w:r>
        <w:br/>
      </w:r>
      <w:r>
        <w:rPr>
          <w:rStyle w:val="VerbatimChar"/>
        </w:rPr>
        <w:t xml:space="preserve">## Lingonberry    0.293    0.317    0.329    0.341    0.366</w:t>
      </w:r>
      <w:r>
        <w:br/>
      </w:r>
      <w:r>
        <w:rPr>
          <w:rStyle w:val="VerbatimChar"/>
        </w:rPr>
        <w:t xml:space="preserve">## Moose          0.029    0.032    0.034    0.036    0.039</w:t>
      </w:r>
      <w:r>
        <w:br/>
      </w:r>
      <w:r>
        <w:rPr>
          <w:rStyle w:val="VerbatimChar"/>
        </w:rPr>
        <w:t xml:space="preserve">## sd[d13C]       0.001    0.011    0.024    0.040    0.080</w:t>
      </w:r>
      <w:r>
        <w:br/>
      </w:r>
      <w:r>
        <w:rPr>
          <w:rStyle w:val="VerbatimChar"/>
        </w:rPr>
        <w:t xml:space="preserve">## sd[d15N]       0.001    0.015    0.032    0.055    0.111</w:t>
      </w:r>
    </w:p>
    <w:p>
      <w:pPr>
        <w:pStyle w:val="FirstParagraph"/>
      </w:pPr>
      <w:r>
        <w:drawing>
          <wp:inline>
            <wp:extent cx="4620126" cy="3696101"/>
            <wp:effectExtent b="0" l="0" r="0" t="0"/>
            <wp:docPr descr="" title="" id="38" name="Picture"/>
            <a:graphic>
              <a:graphicData uri="http://schemas.openxmlformats.org/drawingml/2006/picture">
                <pic:pic>
                  <pic:nvPicPr>
                    <pic:cNvPr descr="EstimateSensitivitytoTDFs_files/figure-docx/unnamed-chunk-1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EstimateSensitivitytoTDFs_files/figure-docx/unnamed-chunk-1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see some fairly large differences in the estimates of</w:t>
      </w:r>
      <w:r>
        <w:t xml:space="preserve"> </w:t>
      </w:r>
      <w:r>
        <w:t xml:space="preserve">our dietary proportions. While ants and moose are still estimated to</w:t>
      </w:r>
      <w:r>
        <w:t xml:space="preserve"> </w:t>
      </w:r>
      <w:r>
        <w:t xml:space="preserve">make up a small proportion of the diet, bilberry, crowberry, and</w:t>
      </w:r>
      <w:r>
        <w:t xml:space="preserve"> </w:t>
      </w:r>
      <w:r>
        <w:t xml:space="preserve">lingonberry are estimated to make up almost equal proportions of the</w:t>
      </w:r>
      <w:r>
        <w:t xml:space="preserve"> </w:t>
      </w:r>
      <w:r>
        <w:t xml:space="preserve">diet and there is a lot of uncertainty around the estimates. Even so,</w:t>
      </w:r>
      <w:r>
        <w:t xml:space="preserve"> </w:t>
      </w:r>
      <w:r>
        <w:t xml:space="preserve">the negative correlations between moose and ants has greatly inflated,</w:t>
      </w:r>
      <w:r>
        <w:t xml:space="preserve"> </w:t>
      </w:r>
      <w:r>
        <w:t xml:space="preserve">while the correlations between the berry species has decreased relative</w:t>
      </w:r>
      <w:r>
        <w:t xml:space="preserve"> </w:t>
      </w:r>
      <w:r>
        <w:t xml:space="preserve">to the estimates using the Mikkelsen TDFs.</w:t>
      </w:r>
    </w:p>
    <w:bookmarkEnd w:id="43"/>
    <w:bookmarkStart w:id="53" w:name="X3865d2fc1065f92ddde6887190950e11dba9db2"/>
    <w:p>
      <w:pPr>
        <w:pStyle w:val="Heading5"/>
      </w:pPr>
      <w:r>
        <w:t xml:space="preserve">The next model uses no TDF corrections as was done in Ro et al. 2021</w:t>
      </w:r>
    </w:p>
    <w:p>
      <w:pPr>
        <w:pStyle w:val="SourceCode"/>
      </w:pPr>
      <w:r>
        <w:rPr>
          <w:rStyle w:val="NormalTok"/>
        </w:rPr>
        <w:t xml:space="preserve">bear_speciesTDF_means.Ro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10</w:t>
      </w:r>
      <w:r>
        <w:br/>
      </w:r>
      <w:r>
        <w:rPr>
          <w:rStyle w:val="NormalTok"/>
        </w:rPr>
        <w:t xml:space="preserve">  ),</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nrow=</w:t>
      </w:r>
      <w:r>
        <w:rPr>
          <w:rStyle w:val="DecValTok"/>
        </w:rPr>
        <w:t xml:space="preserve">5</w:t>
      </w:r>
      <w:r>
        <w:br/>
      </w:r>
      <w:r>
        <w:rPr>
          <w:rStyle w:val="NormalTok"/>
        </w:rPr>
        <w:t xml:space="preserve">)</w:t>
      </w:r>
      <w:r>
        <w:br/>
      </w:r>
      <w:r>
        <w:br/>
      </w:r>
      <w:r>
        <w:rPr>
          <w:rStyle w:val="FunctionTok"/>
        </w:rPr>
        <w:t xml:space="preserve">print</w:t>
      </w:r>
      <w:r>
        <w:rPr>
          <w:rStyle w:val="NormalTok"/>
        </w:rPr>
        <w:t xml:space="preserve">(bear_speciesTDF_means.Ro)</w:t>
      </w:r>
    </w:p>
    <w:p>
      <w:pPr>
        <w:pStyle w:val="SourceCode"/>
      </w:pPr>
      <w:r>
        <w:rPr>
          <w:rStyle w:val="VerbatimChar"/>
        </w:rPr>
        <w:t xml:space="preserve">##      [,1] [,2]</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SourceCode"/>
      </w:pPr>
      <w:r>
        <w:rPr>
          <w:rStyle w:val="NormalTok"/>
        </w:rPr>
        <w:t xml:space="preserve">bearsimmr_TDF_Ro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bear_speciesTDF_means.Ro,</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(bearsimmr_TDF_Ro)</w:t>
      </w:r>
    </w:p>
    <w:p>
      <w:pPr>
        <w:pStyle w:val="FirstParagraph"/>
      </w:pPr>
      <w:r>
        <w:drawing>
          <wp:inline>
            <wp:extent cx="4620126" cy="3696101"/>
            <wp:effectExtent b="0" l="0" r="0" t="0"/>
            <wp:docPr descr="" title="" id="45" name="Picture"/>
            <a:graphic>
              <a:graphicData uri="http://schemas.openxmlformats.org/drawingml/2006/picture">
                <pic:pic>
                  <pic:nvPicPr>
                    <pic:cNvPr descr="EstimateSensitivitytoTDFs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not corrections for the tropic discrimination, our consumers fall</w:t>
      </w:r>
      <w:r>
        <w:t xml:space="preserve"> </w:t>
      </w:r>
      <w:r>
        <w:t xml:space="preserve">well outside our mixing space. This is a huge red flag that should be</w:t>
      </w:r>
      <w:r>
        <w:t xml:space="preserve"> </w:t>
      </w:r>
      <w:r>
        <w:t xml:space="preserve">addressed prior to running a mixture model, because the model will still</w:t>
      </w:r>
      <w:r>
        <w:t xml:space="preserve"> </w:t>
      </w:r>
      <w:r>
        <w:t xml:space="preserve">run and generate proportion estimates, they will just be really</w:t>
      </w:r>
      <w:r>
        <w:t xml:space="preserve"> </w:t>
      </w:r>
      <w:r>
        <w:t xml:space="preserve">terrible. BUT since this is an exercise in sensitivity to different</w:t>
      </w:r>
      <w:r>
        <w:t xml:space="preserve"> </w:t>
      </w:r>
      <w:r>
        <w:t xml:space="preserve">methods, I am going to run this model anyway. It is important to point</w:t>
      </w:r>
      <w:r>
        <w:t xml:space="preserve"> </w:t>
      </w:r>
      <w:r>
        <w:t xml:space="preserve">out that in Ro et al. 2021, they provide a graph of their consumers and</w:t>
      </w:r>
      <w:r>
        <w:t xml:space="preserve"> </w:t>
      </w:r>
      <w:r>
        <w:t xml:space="preserve">sources, and approximately half of their consumers fall within their</w:t>
      </w:r>
      <w:r>
        <w:t xml:space="preserve"> </w:t>
      </w:r>
      <w:r>
        <w:t xml:space="preserve">mixing space.</w:t>
      </w:r>
    </w:p>
    <w:p>
      <w:pPr>
        <w:pStyle w:val="BodyText"/>
      </w:pPr>
      <w:r>
        <w:t xml:space="preserve">The model still converges, but the residual variance is much higher than</w:t>
      </w:r>
      <w:r>
        <w:t xml:space="preserve"> </w:t>
      </w:r>
      <w:r>
        <w:t xml:space="preserve">the other models and the deviance is quite high as well. The estimates</w:t>
      </w:r>
      <w:r>
        <w:t xml:space="preserve"> </w:t>
      </w:r>
      <w:r>
        <w:t xml:space="preserve">of the dietary proportions in this model are very different from the</w:t>
      </w:r>
      <w:r>
        <w:t xml:space="preserve"> </w:t>
      </w:r>
      <w:r>
        <w:t xml:space="preserve">previous three, almost exclusively made of ants.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8834.739 4.476</w:t>
      </w:r>
      <w:r>
        <w:br/>
      </w:r>
      <w:r>
        <w:rPr>
          <w:rStyle w:val="VerbatimChar"/>
        </w:rPr>
        <w:t xml:space="preserve">## Ants           0.982 0.009</w:t>
      </w:r>
      <w:r>
        <w:br/>
      </w:r>
      <w:r>
        <w:rPr>
          <w:rStyle w:val="VerbatimChar"/>
        </w:rPr>
        <w:t xml:space="preserve">## Bilberry       0.002 0.001</w:t>
      </w:r>
      <w:r>
        <w:br/>
      </w:r>
      <w:r>
        <w:rPr>
          <w:rStyle w:val="VerbatimChar"/>
        </w:rPr>
        <w:t xml:space="preserve">## Crowberry      0.004 0.003</w:t>
      </w:r>
      <w:r>
        <w:br/>
      </w:r>
      <w:r>
        <w:rPr>
          <w:rStyle w:val="VerbatimChar"/>
        </w:rPr>
        <w:t xml:space="preserve">## Lingonberry    0.004 0.003</w:t>
      </w:r>
      <w:r>
        <w:br/>
      </w:r>
      <w:r>
        <w:rPr>
          <w:rStyle w:val="VerbatimChar"/>
        </w:rPr>
        <w:t xml:space="preserve">## Moose          0.008 0.007</w:t>
      </w:r>
      <w:r>
        <w:br/>
      </w:r>
      <w:r>
        <w:rPr>
          <w:rStyle w:val="VerbatimChar"/>
        </w:rPr>
        <w:t xml:space="preserve">## sd[d13C]       3.023 0.087</w:t>
      </w:r>
      <w:r>
        <w:br/>
      </w:r>
      <w:r>
        <w:rPr>
          <w:rStyle w:val="VerbatimChar"/>
        </w:rPr>
        <w:t xml:space="preserve">## sd[d15N]       3.138 0.093</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8827.587 8831.572 8834.099 8837.384 8845.342</w:t>
      </w:r>
      <w:r>
        <w:br/>
      </w:r>
      <w:r>
        <w:rPr>
          <w:rStyle w:val="VerbatimChar"/>
        </w:rPr>
        <w:t xml:space="preserve">## Ants           0.959    0.978    0.984    0.989    0.995</w:t>
      </w:r>
      <w:r>
        <w:br/>
      </w:r>
      <w:r>
        <w:rPr>
          <w:rStyle w:val="VerbatimChar"/>
        </w:rPr>
        <w:t xml:space="preserve">## Bilberry       0.000    0.001    0.002    0.003    0.005</w:t>
      </w:r>
      <w:r>
        <w:br/>
      </w:r>
      <w:r>
        <w:rPr>
          <w:rStyle w:val="VerbatimChar"/>
        </w:rPr>
        <w:t xml:space="preserve">## Crowberry      0.001    0.002    0.003    0.005    0.012</w:t>
      </w:r>
      <w:r>
        <w:br/>
      </w:r>
      <w:r>
        <w:rPr>
          <w:rStyle w:val="VerbatimChar"/>
        </w:rPr>
        <w:t xml:space="preserve">## Lingonberry    0.001    0.002    0.003    0.005    0.011</w:t>
      </w:r>
      <w:r>
        <w:br/>
      </w:r>
      <w:r>
        <w:rPr>
          <w:rStyle w:val="VerbatimChar"/>
        </w:rPr>
        <w:t xml:space="preserve">## Moose          0.001    0.003    0.006    0.010    0.026</w:t>
      </w:r>
      <w:r>
        <w:br/>
      </w:r>
      <w:r>
        <w:rPr>
          <w:rStyle w:val="VerbatimChar"/>
        </w:rPr>
        <w:t xml:space="preserve">## sd[d13C]       2.860    2.962    3.022    3.080    3.201</w:t>
      </w:r>
      <w:r>
        <w:br/>
      </w:r>
      <w:r>
        <w:rPr>
          <w:rStyle w:val="VerbatimChar"/>
        </w:rPr>
        <w:t xml:space="preserve">## sd[d15N]       2.958    3.074    3.136    3.199    3.325</w:t>
      </w:r>
    </w:p>
    <w:p>
      <w:pPr>
        <w:pStyle w:val="FirstParagraph"/>
      </w:pPr>
      <w:r>
        <w:drawing>
          <wp:inline>
            <wp:extent cx="4620126" cy="3696101"/>
            <wp:effectExtent b="0" l="0" r="0" t="0"/>
            <wp:docPr descr="" title="" id="48" name="Picture"/>
            <a:graphic>
              <a:graphicData uri="http://schemas.openxmlformats.org/drawingml/2006/picture">
                <pic:pic>
                  <pic:nvPicPr>
                    <pic:cNvPr descr="EstimateSensitivitytoTDFs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EstimateSensitivitytoTDFs_files/figure-docx/unnamed-chunk-2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fc1297cf1965fcafc4762954e2a959db1680c9"/>
    <w:p>
      <w:pPr>
        <w:pStyle w:val="Heading5"/>
      </w:pPr>
      <w:r>
        <w:t xml:space="preserve">The next step is looking at the effects of varying the Mikkelsen TDFs. I begin by reducing the Mikkelsen TDFs by 1 per mil across the board.</w:t>
      </w:r>
    </w:p>
    <w:p>
      <w:pPr>
        <w:pStyle w:val="SourceCode"/>
      </w:pPr>
      <w:r>
        <w:rPr>
          <w:rStyle w:val="VerbatimChar"/>
        </w:rPr>
        <w:t xml:space="preserve">##      C13TDF.Mikkelsen N15TDF.Mikkelsen</w:t>
      </w:r>
      <w:r>
        <w:br/>
      </w:r>
      <w:r>
        <w:rPr>
          <w:rStyle w:val="VerbatimChar"/>
        </w:rPr>
        <w:t xml:space="preserve">## [1,]         3.617668         3.873094</w:t>
      </w:r>
      <w:r>
        <w:br/>
      </w:r>
      <w:r>
        <w:rPr>
          <w:rStyle w:val="VerbatimChar"/>
        </w:rPr>
        <w:t xml:space="preserve">## [2,]         5.638470         4.279950</w:t>
      </w:r>
      <w:r>
        <w:br/>
      </w:r>
      <w:r>
        <w:rPr>
          <w:rStyle w:val="VerbatimChar"/>
        </w:rPr>
        <w:t xml:space="preserve">## [3,]         4.067540         4.609950</w:t>
      </w:r>
      <w:r>
        <w:br/>
      </w:r>
      <w:r>
        <w:rPr>
          <w:rStyle w:val="VerbatimChar"/>
        </w:rPr>
        <w:t xml:space="preserve">## [4,]         4.191080         4.452100</w:t>
      </w:r>
      <w:r>
        <w:br/>
      </w:r>
      <w:r>
        <w:rPr>
          <w:rStyle w:val="VerbatimChar"/>
        </w:rPr>
        <w:t xml:space="preserve">## [5,]         3.886174         3.863044</w:t>
      </w:r>
    </w:p>
    <w:p>
      <w:pPr>
        <w:pStyle w:val="FirstParagraph"/>
      </w:pPr>
      <w:r>
        <w:drawing>
          <wp:inline>
            <wp:extent cx="4620126" cy="3696101"/>
            <wp:effectExtent b="0" l="0" r="0" t="0"/>
            <wp:docPr descr="" title="" id="55" name="Picture"/>
            <a:graphic>
              <a:graphicData uri="http://schemas.openxmlformats.org/drawingml/2006/picture">
                <pic:pic>
                  <pic:nvPicPr>
                    <pic:cNvPr descr="EstimateSensitivitytoTDFs_files/figure-docx/unnamed-chunk-2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our sources have been shifted down and to the left, so I expect</w:t>
      </w:r>
      <w:r>
        <w:t xml:space="preserve"> </w:t>
      </w:r>
      <w:r>
        <w:t xml:space="preserve">that we will have much higher estimates of ants, moose, and bilberry in</w:t>
      </w:r>
      <w:r>
        <w:t xml:space="preserve"> </w:t>
      </w:r>
      <w:r>
        <w:t xml:space="preserve">our estimates</w:t>
      </w:r>
    </w:p>
    <w:p>
      <w:pPr>
        <w:pStyle w:val="BodyText"/>
      </w:pPr>
      <w:r>
        <w:t xml:space="preserve">The model converges, and we have dietary proportion estimates that are</w:t>
      </w:r>
      <w:r>
        <w:t xml:space="preserve"> </w:t>
      </w:r>
      <w:r>
        <w:t xml:space="preserve">different from the Mikkelsen DTFs. As predicted, the estimated</w:t>
      </w:r>
      <w:r>
        <w:t xml:space="preserve"> </w:t>
      </w:r>
      <w:r>
        <w:t xml:space="preserve">proportion of ants has increased, as has the estimated proportion of</w:t>
      </w:r>
      <w:r>
        <w:t xml:space="preserve"> </w:t>
      </w:r>
      <w:r>
        <w:t xml:space="preserve">moose, though less drastically. Except for moose, there is a lot of</w:t>
      </w:r>
      <w:r>
        <w:t xml:space="preserve"> </w:t>
      </w:r>
      <w:r>
        <w:t xml:space="preserve">uncerntainty around the dietary source estimates. We also have much</w:t>
      </w:r>
      <w:r>
        <w:t xml:space="preserve"> </w:t>
      </w:r>
      <w:r>
        <w:t xml:space="preserve">smaller negative correlations between the sources, however comparing the</w:t>
      </w:r>
      <w:r>
        <w:t xml:space="preserve"> </w:t>
      </w:r>
      <w:r>
        <w:t xml:space="preserve">deviance and residual variance is also important to consider.</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2986.586 3.542</w:t>
      </w:r>
      <w:r>
        <w:br/>
      </w:r>
      <w:r>
        <w:rPr>
          <w:rStyle w:val="VerbatimChar"/>
        </w:rPr>
        <w:t xml:space="preserve">## Ants           0.217 0.011</w:t>
      </w:r>
      <w:r>
        <w:br/>
      </w:r>
      <w:r>
        <w:rPr>
          <w:rStyle w:val="VerbatimChar"/>
        </w:rPr>
        <w:t xml:space="preserve">## Bilberry       0.192 0.012</w:t>
      </w:r>
      <w:r>
        <w:br/>
      </w:r>
      <w:r>
        <w:rPr>
          <w:rStyle w:val="VerbatimChar"/>
        </w:rPr>
        <w:t xml:space="preserve">## Crowberry      0.193 0.015</w:t>
      </w:r>
      <w:r>
        <w:br/>
      </w:r>
      <w:r>
        <w:rPr>
          <w:rStyle w:val="VerbatimChar"/>
        </w:rPr>
        <w:t xml:space="preserve">## Lingonberry    0.301 0.017</w:t>
      </w:r>
      <w:r>
        <w:br/>
      </w:r>
      <w:r>
        <w:rPr>
          <w:rStyle w:val="VerbatimChar"/>
        </w:rPr>
        <w:t xml:space="preserve">## Moose          0.096 0.006</w:t>
      </w:r>
      <w:r>
        <w:br/>
      </w:r>
      <w:r>
        <w:rPr>
          <w:rStyle w:val="VerbatimChar"/>
        </w:rPr>
        <w:t xml:space="preserve">## sd[d13C]       0.022 0.016</w:t>
      </w:r>
      <w:r>
        <w:br/>
      </w:r>
      <w:r>
        <w:rPr>
          <w:rStyle w:val="VerbatimChar"/>
        </w:rPr>
        <w:t xml:space="preserve">## sd[d15N]       0.038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2981.776 2983.937 2985.933 2988.498 2995.265</w:t>
      </w:r>
      <w:r>
        <w:br/>
      </w:r>
      <w:r>
        <w:rPr>
          <w:rStyle w:val="VerbatimChar"/>
        </w:rPr>
        <w:t xml:space="preserve">## Ants           0.196    0.210    0.217    0.224    0.240</w:t>
      </w:r>
      <w:r>
        <w:br/>
      </w:r>
      <w:r>
        <w:rPr>
          <w:rStyle w:val="VerbatimChar"/>
        </w:rPr>
        <w:t xml:space="preserve">## Bilberry       0.167    0.184    0.192    0.201    0.216</w:t>
      </w:r>
      <w:r>
        <w:br/>
      </w:r>
      <w:r>
        <w:rPr>
          <w:rStyle w:val="VerbatimChar"/>
        </w:rPr>
        <w:t xml:space="preserve">## Crowberry      0.164    0.183    0.193    0.203    0.222</w:t>
      </w:r>
      <w:r>
        <w:br/>
      </w:r>
      <w:r>
        <w:rPr>
          <w:rStyle w:val="VerbatimChar"/>
        </w:rPr>
        <w:t xml:space="preserve">## Lingonberry    0.268    0.290    0.301    0.312    0.333</w:t>
      </w:r>
      <w:r>
        <w:br/>
      </w:r>
      <w:r>
        <w:rPr>
          <w:rStyle w:val="VerbatimChar"/>
        </w:rPr>
        <w:t xml:space="preserve">## Moose          0.085    0.092    0.096    0.101    0.108</w:t>
      </w:r>
      <w:r>
        <w:br/>
      </w:r>
      <w:r>
        <w:rPr>
          <w:rStyle w:val="VerbatimChar"/>
        </w:rPr>
        <w:t xml:space="preserve">## sd[d13C]       0.001    0.009    0.018    0.031    0.061</w:t>
      </w:r>
      <w:r>
        <w:br/>
      </w:r>
      <w:r>
        <w:rPr>
          <w:rStyle w:val="VerbatimChar"/>
        </w:rPr>
        <w:t xml:space="preserve">## sd[d15N]       0.002    0.015    0.031    0.054    0.108</w:t>
      </w:r>
    </w:p>
    <w:p>
      <w:pPr>
        <w:pStyle w:val="FirstParagraph"/>
      </w:pPr>
      <w:r>
        <w:drawing>
          <wp:inline>
            <wp:extent cx="4620126" cy="3696101"/>
            <wp:effectExtent b="0" l="0" r="0" t="0"/>
            <wp:docPr descr="" title="" id="58" name="Picture"/>
            <a:graphic>
              <a:graphicData uri="http://schemas.openxmlformats.org/drawingml/2006/picture">
                <pic:pic>
                  <pic:nvPicPr>
                    <pic:cNvPr descr="EstimateSensitivitytoTDFs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EstimateSensitivitytoTDFs_files/figure-docx/unnamed-chunk-23-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3" w:name="X53b60a38980124184029ba94c2c82288a5f62ac"/>
    <w:p>
      <w:pPr>
        <w:pStyle w:val="Heading5"/>
      </w:pPr>
      <w:r>
        <w:t xml:space="preserve">After decreasing the Mikkelsen TDFS by 1 per mil, I increase them by 1 per mil.</w:t>
      </w:r>
    </w:p>
    <w:p>
      <w:pPr>
        <w:pStyle w:val="SourceCode"/>
      </w:pPr>
      <w:r>
        <w:rPr>
          <w:rStyle w:val="VerbatimChar"/>
        </w:rPr>
        <w:t xml:space="preserve">##      C13TDF.Mikkelsen N15TDF.Mikkelsen</w:t>
      </w:r>
      <w:r>
        <w:br/>
      </w:r>
      <w:r>
        <w:rPr>
          <w:rStyle w:val="VerbatimChar"/>
        </w:rPr>
        <w:t xml:space="preserve">## [1,]         5.617668         5.873094</w:t>
      </w:r>
      <w:r>
        <w:br/>
      </w:r>
      <w:r>
        <w:rPr>
          <w:rStyle w:val="VerbatimChar"/>
        </w:rPr>
        <w:t xml:space="preserve">## [2,]         7.638470         6.279950</w:t>
      </w:r>
      <w:r>
        <w:br/>
      </w:r>
      <w:r>
        <w:rPr>
          <w:rStyle w:val="VerbatimChar"/>
        </w:rPr>
        <w:t xml:space="preserve">## [3,]         6.067540         6.609950</w:t>
      </w:r>
      <w:r>
        <w:br/>
      </w:r>
      <w:r>
        <w:rPr>
          <w:rStyle w:val="VerbatimChar"/>
        </w:rPr>
        <w:t xml:space="preserve">## [4,]         6.191080         6.452100</w:t>
      </w:r>
      <w:r>
        <w:br/>
      </w:r>
      <w:r>
        <w:rPr>
          <w:rStyle w:val="VerbatimChar"/>
        </w:rPr>
        <w:t xml:space="preserve">## [5,]         5.886174         5.863044</w:t>
      </w:r>
    </w:p>
    <w:p>
      <w:pPr>
        <w:pStyle w:val="FirstParagraph"/>
      </w:pPr>
      <w:r>
        <w:drawing>
          <wp:inline>
            <wp:extent cx="4620126" cy="3696101"/>
            <wp:effectExtent b="0" l="0" r="0" t="0"/>
            <wp:docPr descr="" title="" id="65" name="Picture"/>
            <a:graphic>
              <a:graphicData uri="http://schemas.openxmlformats.org/drawingml/2006/picture">
                <pic:pic>
                  <pic:nvPicPr>
                    <pic:cNvPr descr="EstimateSensitivitytoTDFs_files/figure-docx/unnamed-chunk-2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our consumers are onside the mixing space, but several are now</w:t>
      </w:r>
      <w:r>
        <w:t xml:space="preserve"> </w:t>
      </w:r>
      <w:r>
        <w:t xml:space="preserve">outside of the mixing polygon.</w:t>
      </w:r>
    </w:p>
    <w:p>
      <w:pPr>
        <w:pStyle w:val="BodyText"/>
      </w:pPr>
      <w:r>
        <w:t xml:space="preserve">All of our sources have been shifted up and to the right, so I expect</w:t>
      </w:r>
      <w:r>
        <w:t xml:space="preserve"> </w:t>
      </w:r>
      <w:r>
        <w:t xml:space="preserve">that we will have much higher estimates of berries, particularly</w:t>
      </w:r>
      <w:r>
        <w:t xml:space="preserve"> </w:t>
      </w:r>
      <w:r>
        <w:t xml:space="preserve">bilberry in or final estimates.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1.00        1.00        1.04        1.03        1.04        1.03 </w:t>
      </w:r>
      <w:r>
        <w:br/>
      </w:r>
      <w:r>
        <w:rPr>
          <w:rStyle w:val="VerbatimChar"/>
        </w:rPr>
        <w:t xml:space="preserve">##    sd[d13C]    sd[d15N] </w:t>
      </w:r>
      <w:r>
        <w:br/>
      </w:r>
      <w:r>
        <w:rPr>
          <w:rStyle w:val="VerbatimChar"/>
        </w:rPr>
        <w:t xml:space="preserve">##        1.03        1.00</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5192.241 3.805</w:t>
      </w:r>
      <w:r>
        <w:br/>
      </w:r>
      <w:r>
        <w:rPr>
          <w:rStyle w:val="VerbatimChar"/>
        </w:rPr>
        <w:t xml:space="preserve">## Ants           0.029 0.004</w:t>
      </w:r>
      <w:r>
        <w:br/>
      </w:r>
      <w:r>
        <w:rPr>
          <w:rStyle w:val="VerbatimChar"/>
        </w:rPr>
        <w:t xml:space="preserve">## Bilberry       0.689 0.177</w:t>
      </w:r>
      <w:r>
        <w:br/>
      </w:r>
      <w:r>
        <w:rPr>
          <w:rStyle w:val="VerbatimChar"/>
        </w:rPr>
        <w:t xml:space="preserve">## Crowberry      0.026 0.031</w:t>
      </w:r>
      <w:r>
        <w:br/>
      </w:r>
      <w:r>
        <w:rPr>
          <w:rStyle w:val="VerbatimChar"/>
        </w:rPr>
        <w:t xml:space="preserve">## Lingonberry    0.231 0.160</w:t>
      </w:r>
      <w:r>
        <w:br/>
      </w:r>
      <w:r>
        <w:rPr>
          <w:rStyle w:val="VerbatimChar"/>
        </w:rPr>
        <w:t xml:space="preserve">## Moose          0.025 0.004</w:t>
      </w:r>
      <w:r>
        <w:br/>
      </w:r>
      <w:r>
        <w:rPr>
          <w:rStyle w:val="VerbatimChar"/>
        </w:rPr>
        <w:t xml:space="preserve">## sd[d13C]       0.604 0.559</w:t>
      </w:r>
      <w:r>
        <w:br/>
      </w:r>
      <w:r>
        <w:rPr>
          <w:rStyle w:val="VerbatimChar"/>
        </w:rPr>
        <w:t xml:space="preserve">## sd[d15N]       0.047 0.036</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5186.485 5189.473 5191.690 5194.430 5201.163</w:t>
      </w:r>
      <w:r>
        <w:br/>
      </w:r>
      <w:r>
        <w:rPr>
          <w:rStyle w:val="VerbatimChar"/>
        </w:rPr>
        <w:t xml:space="preserve">## Ants           0.021    0.027    0.029    0.032    0.038</w:t>
      </w:r>
      <w:r>
        <w:br/>
      </w:r>
      <w:r>
        <w:rPr>
          <w:rStyle w:val="VerbatimChar"/>
        </w:rPr>
        <w:t xml:space="preserve">## Bilberry       0.413    0.492    0.816    0.839    0.864</w:t>
      </w:r>
      <w:r>
        <w:br/>
      </w:r>
      <w:r>
        <w:rPr>
          <w:rStyle w:val="VerbatimChar"/>
        </w:rPr>
        <w:t xml:space="preserve">## Crowberry      0.003    0.008    0.014    0.031    0.119</w:t>
      </w:r>
      <w:r>
        <w:br/>
      </w:r>
      <w:r>
        <w:rPr>
          <w:rStyle w:val="VerbatimChar"/>
        </w:rPr>
        <w:t xml:space="preserve">## Lingonberry    0.065    0.095    0.119    0.411    0.473</w:t>
      </w:r>
      <w:r>
        <w:br/>
      </w:r>
      <w:r>
        <w:rPr>
          <w:rStyle w:val="VerbatimChar"/>
        </w:rPr>
        <w:t xml:space="preserve">## Moose          0.018    0.022    0.024    0.028    0.032</w:t>
      </w:r>
      <w:r>
        <w:br/>
      </w:r>
      <w:r>
        <w:rPr>
          <w:rStyle w:val="VerbatimChar"/>
        </w:rPr>
        <w:t xml:space="preserve">## sd[d13C]       0.008    0.096    0.267    1.234    1.407</w:t>
      </w:r>
      <w:r>
        <w:br/>
      </w:r>
      <w:r>
        <w:rPr>
          <w:rStyle w:val="VerbatimChar"/>
        </w:rPr>
        <w:t xml:space="preserve">## sd[d15N]       0.002    0.018    0.040    0.066    0.133</w:t>
      </w:r>
    </w:p>
    <w:p>
      <w:pPr>
        <w:pStyle w:val="FirstParagraph"/>
      </w:pPr>
      <w:r>
        <w:drawing>
          <wp:inline>
            <wp:extent cx="4620126" cy="3696101"/>
            <wp:effectExtent b="0" l="0" r="0" t="0"/>
            <wp:docPr descr="" title="" id="68" name="Picture"/>
            <a:graphic>
              <a:graphicData uri="http://schemas.openxmlformats.org/drawingml/2006/picture">
                <pic:pic>
                  <pic:nvPicPr>
                    <pic:cNvPr descr="EstimateSensitivitytoTDFs_files/figure-docx/unnamed-chunk-2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EstimateSensitivitytoTDFs_files/figure-docx/unnamed-chunk-26-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81" w:name="summary"/>
    <w:p>
      <w:pPr>
        <w:pStyle w:val="Heading1"/>
      </w:pPr>
      <w:r>
        <w:t xml:space="preserve">Summary</w:t>
      </w:r>
    </w:p>
    <w:p>
      <w:pPr>
        <w:pStyle w:val="SourceCode"/>
      </w:pPr>
      <w:r>
        <w:rPr>
          <w:rStyle w:val="NormalTok"/>
        </w:rPr>
        <w:t xml:space="preserve">SummaryData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"DietEstimates.xlsx"</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SummaryData, </w:t>
      </w:r>
      <w:r>
        <w:rPr>
          <w:rStyle w:val="FunctionTok"/>
        </w:rPr>
        <w:t xml:space="preserve">aes</w:t>
      </w:r>
      <w:r>
        <w:rPr>
          <w:rStyle w:val="NormalTok"/>
        </w:rPr>
        <w:t xml:space="preserve">(Dsource,DietProp))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Model,</w:t>
      </w:r>
      <w:r>
        <w:rPr>
          <w:rStyle w:val="AttributeTok"/>
        </w:rPr>
        <w:t xml:space="preserve">lty=</w:t>
      </w:r>
      <w:r>
        <w:rPr>
          <w:rStyle w:val="NormalTok"/>
        </w:rPr>
        <w:t xml:space="preserve">Model, </w:t>
      </w:r>
      <w:r>
        <w:rPr>
          <w:rStyle w:val="AttributeTok"/>
        </w:rPr>
        <w:t xml:space="preserve">color=</w:t>
      </w:r>
      <w:r>
        <w:rPr>
          <w:rStyle w:val="NormalTok"/>
        </w:rPr>
        <w:t xml:space="preserve">Model),</w:t>
      </w:r>
      <w:r>
        <w:rPr>
          <w:rStyle w:val="AttributeTok"/>
        </w:rPr>
        <w:t xml:space="preserve">lwd=</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7</w:t>
      </w:r>
      <w:r>
        <w:rPr>
          <w:rStyle w:val="NormalTok"/>
        </w:rPr>
        <w:t xml:space="preserve">,</w:t>
      </w:r>
      <w:r>
        <w:rPr>
          <w:rStyle w:val="AttributeTok"/>
        </w:rPr>
        <w:t xml:space="preserve">alpha=</w:t>
      </w:r>
      <w:r>
        <w:rPr>
          <w:rStyle w:val="FloatTok"/>
        </w:rPr>
        <w:t xml:space="preserve">0.8</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Model))</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end=</w:t>
      </w:r>
      <w:r>
        <w:rPr>
          <w:rStyle w:val="FloatTok"/>
        </w:rPr>
        <w:t xml:space="preserve">0.95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"grey97"</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"Ants"</w:t>
      </w:r>
      <w:r>
        <w:rPr>
          <w:rStyle w:val="NormalTok"/>
        </w:rPr>
        <w:t xml:space="preserve">,</w:t>
      </w:r>
      <w:r>
        <w:rPr>
          <w:rStyle w:val="StringTok"/>
        </w:rPr>
        <w:t xml:space="preserve">"Bilberries"</w:t>
      </w:r>
      <w:r>
        <w:rPr>
          <w:rStyle w:val="NormalTok"/>
        </w:rPr>
        <w:t xml:space="preserve">,</w:t>
      </w:r>
      <w:r>
        <w:rPr>
          <w:rStyle w:val="StringTok"/>
        </w:rPr>
        <w:t xml:space="preserve">"Crowberries"</w:t>
      </w:r>
      <w:r>
        <w:rPr>
          <w:rStyle w:val="NormalTok"/>
        </w:rPr>
        <w:t xml:space="preserve">,</w:t>
      </w:r>
      <w:r>
        <w:rPr>
          <w:rStyle w:val="StringTok"/>
        </w:rPr>
        <w:t xml:space="preserve">"Lingonberries"</w:t>
      </w:r>
      <w:r>
        <w:rPr>
          <w:rStyle w:val="NormalTok"/>
        </w:rPr>
        <w:t xml:space="preserve">,</w:t>
      </w:r>
      <w:r>
        <w:rPr>
          <w:rStyle w:val="StringTok"/>
        </w:rPr>
        <w:t xml:space="preserve">"Moose"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"Diet source"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"Estimated dietary proportion"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EstimateSensitivitytoTDFs_files/figure-docx/unnamed-chunk-2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SummaryData, </w:t>
      </w:r>
      <w:r>
        <w:rPr>
          <w:rStyle w:val="FunctionTok"/>
        </w:rPr>
        <w:t xml:space="preserve">aes</w:t>
      </w:r>
      <w:r>
        <w:rPr>
          <w:rStyle w:val="NormalTok"/>
        </w:rPr>
        <w:t xml:space="preserve">(Model,DietProp))</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Source, </w:t>
      </w:r>
      <w:r>
        <w:rPr>
          <w:rStyle w:val="AttributeTok"/>
        </w:rPr>
        <w:t xml:space="preserve">fill=</w:t>
      </w:r>
      <w:r>
        <w:rPr>
          <w:rStyle w:val="NormalTok"/>
        </w:rPr>
        <w:t xml:space="preserve">Source))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"grey97"</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"Estimated diet proportion"</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EstimateSensitivitytoTDFs_files/figure-docx/unnamed-chunk-27-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dcterms:created xsi:type="dcterms:W3CDTF">2022-04-06T09:46:58Z</dcterms:created>
  <dcterms:modified xsi:type="dcterms:W3CDTF">2022-04-06T09:46:58Z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