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i w:val="false"/>
          <w:iCs w:val="false"/>
          <w:sz w:val="30"/>
          <w:szCs w:val="30"/>
        </w:rPr>
        <w:t xml:space="preserve">CRITICAL ANALYSIS OF INTERFACES</w:t>
      </w:r>
    </w:p>
    <w:p>
      <w:pPr>
        <w:spacing w:after="100"/>
        <w:jc w:val="center"/>
      </w:pPr>
      <w:r>
        <w:rPr>
          <w:rFonts w:ascii="Calibri" w:cs="Calibri" w:eastAsia="Calibri" w:hAnsi="Calibri"/>
          <w:b/>
          <w:bCs/>
          <w:i w:val="false"/>
          <w:iCs w:val="false"/>
          <w:sz w:val="24"/>
          <w:szCs w:val="24"/>
        </w:rPr>
        <w:t xml:space="preserve">A Usability and Interface Design Evaluation of the OWASP Foundation Website</w:t>
      </w:r>
    </w:p>
    <w:p>
      <w:pPr>
        <w:spacing w:after="400"/>
        <w:jc w:val="center"/>
      </w:pPr>
      <w:r>
        <w:rPr>
          <w:rFonts w:ascii="Calibri" w:cs="Calibri" w:eastAsia="Calibri" w:hAnsi="Calibri"/>
          <w:b w:val="false"/>
          <w:bCs w:val="false"/>
          <w:i/>
          <w:iCs/>
          <w:sz w:val="22"/>
          <w:szCs w:val="22"/>
        </w:rPr>
        <w:t xml:space="preserve">(www.owasp.org)</w:t>
      </w:r>
    </w:p>
    <w:p>
      <w:pPr>
        <w:spacing w:after="100"/>
        <w:jc w:val="center"/>
      </w:pPr>
      <w:r>
        <w:rPr>
          <w:rFonts w:ascii="Calibri" w:cs="Calibri" w:eastAsia="Calibri" w:hAnsi="Calibri"/>
          <w:b w:val="false"/>
          <w:bCs w:val="false"/>
          <w:i w:val="false"/>
          <w:iCs w:val="false"/>
          <w:sz w:val="22"/>
          <w:szCs w:val="22"/>
        </w:rPr>
        <w:t xml:space="preserve">Submitted by: Ashlesha Gawkar</w:t>
      </w:r>
    </w:p>
    <w:p>
      <w:pPr>
        <w:spacing w:after="100"/>
        <w:jc w:val="center"/>
      </w:pPr>
      <w:r>
        <w:rPr>
          <w:rFonts w:ascii="Calibri" w:cs="Calibri" w:eastAsia="Calibri" w:hAnsi="Calibri"/>
          <w:b w:val="false"/>
          <w:bCs w:val="false"/>
          <w:i w:val="false"/>
          <w:iCs w:val="false"/>
          <w:sz w:val="22"/>
          <w:szCs w:val="22"/>
        </w:rPr>
        <w:t xml:space="preserve">PRN: 1032232976</w:t>
      </w:r>
    </w:p>
    <w:p>
      <w:pPr>
        <w:spacing w:after="100"/>
        <w:jc w:val="center"/>
      </w:pPr>
      <w:r>
        <w:rPr>
          <w:rFonts w:ascii="Calibri" w:cs="Calibri" w:eastAsia="Calibri" w:hAnsi="Calibri"/>
          <w:b w:val="false"/>
          <w:bCs w:val="false"/>
          <w:i w:val="false"/>
          <w:iCs w:val="false"/>
          <w:sz w:val="22"/>
          <w:szCs w:val="22"/>
        </w:rPr>
        <w:t xml:space="preserve">Panel/Batch: D2</w:t>
      </w:r>
    </w:p>
    <w:p>
      <w:pPr>
        <w:spacing w:after="100"/>
        <w:jc w:val="center"/>
      </w:pPr>
      <w:r>
        <w:rPr>
          <w:rFonts w:ascii="Calibri" w:cs="Calibri" w:eastAsia="Calibri" w:hAnsi="Calibri"/>
          <w:b w:val="false"/>
          <w:bCs w:val="false"/>
          <w:i w:val="false"/>
          <w:iCs w:val="false"/>
          <w:sz w:val="22"/>
          <w:szCs w:val="22"/>
        </w:rPr>
        <w:t xml:space="preserve">Programme: B.Tech Computer Science</w:t>
      </w:r>
    </w:p>
    <w:p>
      <w:pPr>
        <w:spacing w:after="100"/>
        <w:jc w:val="center"/>
      </w:pPr>
      <w:r>
        <w:rPr>
          <w:rFonts w:ascii="Calibri" w:cs="Calibri" w:eastAsia="Calibri" w:hAnsi="Calibri"/>
          <w:b w:val="false"/>
          <w:bCs w:val="false"/>
          <w:i w:val="false"/>
          <w:iCs w:val="false"/>
          <w:sz w:val="22"/>
          <w:szCs w:val="22"/>
        </w:rPr>
        <w:t xml:space="preserve">MIT World Peace University, Pune</w:t>
      </w:r>
    </w:p>
    <w:p>
      <w:pPr>
        <w:spacing w:after="400"/>
        <w:jc w:val="center"/>
      </w:pPr>
      <w:r>
        <w:rPr>
          <w:rFonts w:ascii="Calibri" w:cs="Calibri" w:eastAsia="Calibri" w:hAnsi="Calibri"/>
          <w:b w:val="false"/>
          <w:bCs w:val="false"/>
          <w:i w:val="false"/>
          <w:iCs w:val="false"/>
          <w:sz w:val="22"/>
          <w:szCs w:val="22"/>
        </w:rPr>
        <w:t xml:space="preserve">Assignment: Critical Analysis of Interfaces</w:t>
      </w:r>
    </w:p>
    <w:p>
      <w:pPr>
        <w:pStyle w:val="Heading1"/>
        <w:spacing w:after="200" w:before="300"/>
      </w:pPr>
      <w:r>
        <w:rPr>
          <w:rFonts w:ascii="Calibri" w:cs="Calibri" w:eastAsia="Calibri" w:hAnsi="Calibri"/>
          <w:b/>
          <w:bCs/>
          <w:sz w:val="26"/>
          <w:szCs w:val="26"/>
        </w:rPr>
        <w:t xml:space="preserve">1. Introduction</w:t>
      </w:r>
    </w:p>
    <w:p>
      <w:pPr>
        <w:spacing w:after="200" w:line="300"/>
        <w:jc w:val="both"/>
      </w:pPr>
      <w:r>
        <w:rPr>
          <w:rFonts w:ascii="Calibri" w:cs="Calibri" w:eastAsia="Calibri" w:hAnsi="Calibri"/>
          <w:sz w:val="22"/>
          <w:szCs w:val="22"/>
        </w:rPr>
        <w:t xml:space="preserve">This assignment looks at an interface built for a very different kind of visitor than a consumer website: developers, security engineers, students, and researchers who arrive either to look up a specific vulnerability class or to understand what a particular project actually delivers. The interface chosen is the official website of the OWASP Foundation, the Open Worldwide Application Security Project, accessible at www.owasp.org. OWASP is a non-profit organisation that has published free, community-built security resources since 2001, the best known of which are the OWASP Top 10, the Application Security Verification Standard (ASVS), and the Cheat Sheet Series. Because the foundation depends almost entirely on volunteer contribution and event sponsorship to sustain itself, its website has to double as a recruitment and fundraising channel as well as a technical reference library, and this tension shapes a lot of what follows. As with any interface evaluation, the intent here is not to judge the accuracy or depth of OWASP's security content, but to examine how learnable, usable, consistent, and trustworthy the site is purely as a piece of interaction design.</w:t>
      </w:r>
    </w:p>
    <w:p>
      <w:pPr>
        <w:pStyle w:val="Heading1"/>
        <w:spacing w:after="200" w:before="300"/>
      </w:pPr>
      <w:r>
        <w:rPr>
          <w:rFonts w:ascii="Calibri" w:cs="Calibri" w:eastAsia="Calibri" w:hAnsi="Calibri"/>
          <w:b/>
          <w:bCs/>
          <w:sz w:val="26"/>
          <w:szCs w:val="26"/>
        </w:rPr>
        <w:t xml:space="preserve">2. Overview of the Interface</w:t>
      </w:r>
    </w:p>
    <w:p>
      <w:pPr>
        <w:spacing w:after="200" w:line="300"/>
        <w:jc w:val="both"/>
      </w:pPr>
      <w:r>
        <w:rPr>
          <w:rFonts w:ascii="Calibri" w:cs="Calibri" w:eastAsia="Calibri" w:hAnsi="Calibri"/>
          <w:sz w:val="22"/>
          <w:szCs w:val="22"/>
        </w:rPr>
        <w:t xml:space="preserve">The OWASP homepage opens with a short hero banner reading "Explore the world of cyber security", followed immediately by a card prompting visitors to join or renew an OWASP membership. Beneath this sits a long run of promotional cards for upcoming conferences and chapter events — including German OWASP Day, AppSec Days Portugal, the Virtual AppSec Days India, LASCON in Austin, AppSec Days Israel, AppSec Days France, and a card marking OWASP's 25th-anniversary virtual conference — each carrying its own image, short description, and registration link. A corporate-supporter interview and a recent blog post preview appear just under this, followed by an embedded Google Calendar widget listing upcoming events. Only after this sequence does the page reach a section titled "Quick access to our highlighted flagship resources", which links out to the three documents OWASP is most widely known for: the Top Ten, the ASVS, and the Cheat Sheets. The remainder of the homepage carries a "Recent OWASP News &amp; Opinions" list, an "Upcoming Conferences" list, a corporate-supporters block, and a footer holding social-media icons and the site's actual primary navigation — Home, Projects, Chapters, Events, About, Privacy, Sitemap, and Contact. Notably, OWASP's own site documentation describes the website as a collection of micro-sites, with every project, chapter, and committee maintained in its own GitHub repository under a shared theme but not always shared layout conventions — a structural choice that resurfaces repeatedly in the evaluation below.</w:t>
      </w:r>
    </w:p>
    <w:p>
      <w:pPr>
        <w:pStyle w:val="Heading1"/>
        <w:spacing w:after="200" w:before="300"/>
      </w:pPr>
      <w:r>
        <w:rPr>
          <w:rFonts w:ascii="Calibri" w:cs="Calibri" w:eastAsia="Calibri" w:hAnsi="Calibri"/>
          <w:b/>
          <w:bCs/>
          <w:sz w:val="26"/>
          <w:szCs w:val="26"/>
        </w:rPr>
        <w:t xml:space="preserve">3. Parameter-Wise Evaluation</w:t>
      </w:r>
    </w:p>
    <w:p>
      <w:pPr>
        <w:spacing w:after="200" w:line="300"/>
        <w:jc w:val="both"/>
      </w:pPr>
      <w:r>
        <w:rPr>
          <w:rFonts w:ascii="Calibri" w:cs="Calibri" w:eastAsia="Calibri" w:hAnsi="Calibri"/>
          <w:sz w:val="22"/>
          <w:szCs w:val="22"/>
        </w:rPr>
        <w:t xml:space="preserve">The table below evaluates the interface against the standard set of interface-design parameters, describing what each parameter measures and how the OWASP website performs against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00"/>
      </w:tblGrid>
      <w:tr>
        <w:trPr>
          <w:tblHeader/>
        </w:trPr>
        <w:tc>
          <w:tcPr>
            <w:tcW w:type="dxa" w:w="17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Parameter</w:t>
            </w:r>
          </w:p>
        </w:tc>
        <w:tc>
          <w:tcPr>
            <w:tcW w:type="dxa" w:w="3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Measures</w:t>
            </w:r>
          </w:p>
        </w:tc>
        <w:tc>
          <w:tcPr>
            <w:tcW w:type="dxa" w:w="4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Observation on OWASP Website</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Learnability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How easily a first-time user can understand and use the site without guidance.</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The homepage opens with a broad tagline ("Explore the world of cyber security") and then moves straight into a long run of conference and membership promotions before a first-time visitor reaches anything about what OWASP actually produces. A student or new developer has to scroll past several event cards before the flagship-resources block even mentions the Top Ten, ASVS, or Cheat Sheets, so the page does not front-load the content a newcomer is most likely searching for.</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Usability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Efficiency and effectiveness with which users can complete tasks such as searching, browsing, or accessing documentation.</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The three flagship resources are genuinely useful once located, and each links straight to the correct project page, but the amount of scrolling required to reach them from the homepage is disproportionate to how central they are to what most visitors actually want from OWASP.</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Consistency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Uniformity in colours, typography, icons, layouts, and interaction patterns across pages.</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OWASP documents its own site as a collection of independently maintained micro-sites, with every project, chapter, and committee living in its own repository. As a result, pages such as the Top Ten, the Cheat Sheet Series, or a chapter page do not always carry identical header spacing, terminology, or button styling, even though they share a common underlying theme.</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Use of Metaphors</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Whether familiar real-world concepts help users understand functionality.</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Metaphor use is almost non-existent. Calls to action such as "Register Today!", "More details", and "Start a project" are purely textual, and even the flagship-resources cards rely on a plain word tag ("Documentation") instead of an icon to signal what kind of content a link leads to.</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Navigation Structure</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Clarity and organisation of menus, breadcrumbs, links, and information hierarchy.</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The core navigation (Home, Projects, Chapters, Events, About, Privacy, Sitemap, Contact) sits in the footer rather than a persistent header, so once a visitor scrolls past the opening banner there is no fixed menu bar to fall back on. The header itself carries only Store, Donate, and Join links.</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Visual Hierarchy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Emphasis on important elements using size, colour, spacing, and contrast to guide attention.</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Conference and membership promotions receive the largest, most image-heavy cards on the page and occupy the first several screens, while the flagship documentation section — arguably the reason most technical visitors arrive at the site — is a comparatively small, text-only block placed well below the fold.</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Accessibility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Support for users with disabilities through contrast, keyboard navigation, alt text, and screen-reader compatibility.</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The page itself displays a fallback message asking visitors to enable JavaScript for full functionality, which points to a dependency that can be a barrier on restrictive browsers or assistive setups. Images generally carry alt text, but no visible contrast toggle or text-resize control is offered anywhere on the homepage.</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Responsiveness</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Ability of the website to adapt seamlessly across desktops, tablets, and mobile devices.</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OWASP's own site documentation describes the site as hosted on GitHub Pages and built with Jekyll, a static-site generator. The layout does reflow on a phone-width screen, but the same long stack of event cards still has to be scrolled through regardless of device, so the mobile view inherits the desktop page's length rather than trimming it down.</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Efficiency of Interaction</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Number of steps required to complete common tasks and availability of shortcuts.</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Reaching a specific piece of documentation, such as one entry in the Cheat Sheet Series, usually means leaving the main site's navigation altogether and landing on that project's own micro-site, which then has its own internal structure to learn — adding steps to what should ideally be a single, quick lookup.</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Feedback and System Status</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Whether the interface gives clear responses to user actions such as loading indicators or confirmations.</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Because the site is largely static, there is little dynamic feedback to observe — link clicks simply navigate rather than confirming anything. This is a reasonable trade-off for a document-style site, but the one interactive element on the homepage, an embedded Google Calendar widget, gives no visible indication of whether it has finished loading.</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Error Prevention and Recovery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Mechanisms to prevent mistakes and provide clear instructions for correcting errors.</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There is minimal error-prevention design in evidence, since nearly everything on the homepage is a static link rather than a form. The one place a visitor could make a costly mistake — registering for the wrong event or ticket tier — happens entirely on third-party platforms such as Eventbrite or Glue Up, outside OWASP's own interface conventions.</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Aesthetic and Minimalist Design</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Avoidance of unnecessary information or clutter while maintaining visual appeal.</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The homepage is visually dense with promotional material — seven or more separate conference cards stacked one after another before reaching core content — which works against the clean, document-first impression a technical reference site would ideally want to project.</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Content Readability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Appropriate typography, font sizes, spacing, and readability of textual content.</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Blog and news entries are written in short, scannable paragraphs with clear dates and author bylines, which reads well. The surrounding conference-card copy, however, repeats similar phrasing ("Register Today!", "Registration is now open!") across several cards placed close together, which adds bulk without adding new information.</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Search and Discoverability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Ease of finding information through search bars, filters, categorisation, and recommendations.</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OWASP does maintain a dedicated search page (owasp.org/search/), but it is not surfaced anywhere in the visible homepage layout or the footer navigation reviewed here, so a visitor has to already know the URL exists or find it through an external search engine rather than the site's own interface.</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Performance Perception</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User perception of speed through loading indicators, progressive loading, and smooth transitions.</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Being a static, Jekyll-generated site keeps individual page loads quick in principle, but the homepage's length, combined with embedded third-party elements like the calendar widget, means the page keeps loading and shifting content for noticeably longer than its plain visual style would suggest.</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Trust and Credibility</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Presence of security indicators, professional appearance, testimonials, and transparent policies.</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Trust signals are strong and unusually specific for a website in this evaluation set: the foundation states its incorporation date, EIN, and registered office address, names its corporate supporters outright, and links directly to its GitHub organisation and Slack community — all concrete ways for a technical audience to verify the organisation is what it claims to be.</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Personalization</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Ability to adapt content or recommendations based on user preferences and behaviour.</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The homepage looks identical whether the visitor is a developer hunting for a cheat sheet, a student researching the Top Ten for an assignment, or a company scoping out corporate membership. There is no branching by likely intent, unlike sites that route different visitor types into separate journeys early on.</w:t>
            </w:r>
          </w:p>
        </w:tc>
      </w:tr>
      <w:tr>
        <w:tc>
          <w:tcPr>
            <w:tcW w:type="dxa" w:w="17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User Satisfaction</w:t>
            </w:r>
          </w:p>
        </w:tc>
        <w:tc>
          <w:tcPr>
            <w:tcW w:type="dxa" w:w="3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Overall experience and perceived ease and enjoyment of using the website.</w:t>
            </w:r>
          </w:p>
        </w:tc>
        <w:tc>
          <w:tcPr>
            <w:tcW w:type="dxa" w:w="43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The material a technical visitor ultimately wants is present, well-sourced, and credible, but the sheer volume of event promotion ahead of the documentation content leaves the overall journey feeling weighted toward the foundation's conference calendar rather than the reference material most visitors are presumably arriving to find.</w:t>
            </w:r>
          </w:p>
        </w:tc>
      </w:tr>
    </w:tbl>
    <w:p>
      <w:pPr>
        <w:spacing w:before="200"/>
      </w:pPr>
    </w:p>
    <w:p>
      <w:pPr>
        <w:pStyle w:val="Heading1"/>
        <w:spacing w:after="200" w:before="300"/>
      </w:pPr>
      <w:r>
        <w:rPr>
          <w:rFonts w:ascii="Calibri" w:cs="Calibri" w:eastAsia="Calibri" w:hAnsi="Calibri"/>
          <w:b/>
          <w:bCs/>
          <w:sz w:val="26"/>
          <w:szCs w:val="26"/>
        </w:rPr>
        <w:t xml:space="preserve">4. Evaluation Against Shneiderman's Eight Golden Rules</w:t>
      </w:r>
    </w:p>
    <w:p>
      <w:pPr>
        <w:spacing w:after="200" w:line="300"/>
        <w:jc w:val="both"/>
      </w:pPr>
      <w:r>
        <w:rPr>
          <w:rFonts w:ascii="Calibri" w:cs="Calibri" w:eastAsia="Calibri" w:hAnsi="Calibri"/>
          <w:sz w:val="22"/>
          <w:szCs w:val="22"/>
        </w:rPr>
        <w:t xml:space="preserve">Beyond the parameter checklist, Shneiderman's Eight Golden Rules of Interface Design offer a well-established lens for judging interactive systems. Applying each rule to the OWASP website surfaces specific, actionable design gaps rather than general impressions.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Golden Rule</w:t>
            </w:r>
          </w:p>
        </w:tc>
        <w:tc>
          <w:tcPr>
            <w:tcW w:type="dxa" w:w="70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the Interface Measures Up</w:t>
            </w:r>
          </w:p>
        </w:tc>
      </w:tr>
      <w:tr>
        <w:tc>
          <w:tcPr>
            <w:tcW w:type="dxa" w:w="23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1. Strive for consistency</w:t>
            </w:r>
          </w:p>
        </w:tc>
        <w:tc>
          <w:tcPr>
            <w:tcW w:type="dxa" w:w="70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Partially met. Individual pages are internally consistent, but because each project and chapter is run as its own micro-site repository, styling and even navigation wording can shift once a visitor leaves the core owasp.org pages for a project page such as the Top Ten or an individual cheat sheet.</w:t>
            </w:r>
          </w:p>
        </w:tc>
      </w:tr>
      <w:tr>
        <w:tc>
          <w:tcPr>
            <w:tcW w:type="dxa" w:w="23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2. Seek universal usability</w:t>
            </w:r>
          </w:p>
        </w:tc>
        <w:tc>
          <w:tcPr>
            <w:tcW w:type="dxa" w:w="70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Not fully met. There is no visible text-resize or high-contrast toggle, and the page's own notice about needing JavaScript enabled works against visitors on stripped-down browsers or assistive technology, which sits oddly against OWASP's stated mission of making security information available to everyone.</w:t>
            </w:r>
          </w:p>
        </w:tc>
      </w:tr>
      <w:tr>
        <w:tc>
          <w:tcPr>
            <w:tcW w:type="dxa" w:w="23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3. Offer informative feedback</w:t>
            </w:r>
          </w:p>
        </w:tc>
        <w:tc>
          <w:tcPr>
            <w:tcW w:type="dxa" w:w="70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Weak, largely by the nature of a static site — link clicks simply navigate rather than confirming an action. This is tolerable for a reference-document site, but the embedded calendar widget is the one genuinely interactive element on the page, and it gives no feedback on whether it has finished loading.</w:t>
            </w:r>
          </w:p>
        </w:tc>
      </w:tr>
      <w:tr>
        <w:tc>
          <w:tcPr>
            <w:tcW w:type="dxa" w:w="23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4. Design dialogues to yield closure</w:t>
            </w:r>
          </w:p>
        </w:tc>
        <w:tc>
          <w:tcPr>
            <w:tcW w:type="dxa" w:w="70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Not fully applicable, since the homepage has no multi-step task, but that absence is itself a gap: the page cycles through event cards, blog entries, and conference lists with no clear point at which a visitor is meant to feel they have "arrived" at what they came for.</w:t>
            </w:r>
          </w:p>
        </w:tc>
      </w:tr>
      <w:tr>
        <w:tc>
          <w:tcPr>
            <w:tcW w:type="dxa" w:w="23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5. Prevent errors</w:t>
            </w:r>
          </w:p>
        </w:tc>
        <w:tc>
          <w:tcPr>
            <w:tcW w:type="dxa" w:w="70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Weak. There is no in-page validation or guidance because almost every element is a static link, and the one place a visitor could make a costly mistake — registering for the wrong event or ticket tier — happens entirely on third-party platforms such as Eventbrite, outside OWASP's own interface.</w:t>
            </w:r>
          </w:p>
        </w:tc>
      </w:tr>
      <w:tr>
        <w:tc>
          <w:tcPr>
            <w:tcW w:type="dxa" w:w="23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6. Permit easy reversal of actions</w:t>
            </w:r>
          </w:p>
        </w:tc>
        <w:tc>
          <w:tcPr>
            <w:tcW w:type="dxa" w:w="70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Largely not applicable on the homepage itself, though by extension, a visitor who clicks through to an external registration page has no easy way back to their place on the OWASP site, since these links open separate destinations rather than in-page overlays.</w:t>
            </w:r>
          </w:p>
        </w:tc>
      </w:tr>
      <w:tr>
        <w:tc>
          <w:tcPr>
            <w:tcW w:type="dxa" w:w="23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7. Keep users in control</w:t>
            </w:r>
          </w:p>
        </w:tc>
        <w:tc>
          <w:tcPr>
            <w:tcW w:type="dxa" w:w="70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Weak. The number of auto-populating cards — conferences, blog posts, the calendar widget — means a visitor is moving through content in the order the page decides to present it, with no filter or sort to bring, say, only documentation or only nearby chapter events to the top.</w:t>
            </w:r>
          </w:p>
        </w:tc>
      </w:tr>
      <w:tr>
        <w:tc>
          <w:tcPr>
            <w:tcW w:type="dxa" w:w="2300"/>
            <w:tcMar>
              <w:top w:type="dxa" w:w="100"/>
              <w:left w:type="dxa" w:w="120"/>
              <w:bottom w:type="dxa" w:w="100"/>
              <w:right w:type="dxa" w:w="120"/>
            </w:tcMar>
            <w:vAlign w:val="center"/>
          </w:tcPr>
          <w:p>
            <w:pPr>
              <w:spacing w:line="276"/>
            </w:pPr>
            <w:r>
              <w:rPr>
                <w:rFonts w:ascii="Calibri" w:cs="Calibri" w:eastAsia="Calibri" w:hAnsi="Calibri"/>
                <w:b/>
                <w:bCs/>
                <w:sz w:val="20"/>
                <w:szCs w:val="20"/>
              </w:rPr>
              <w:t xml:space="preserve">8. Reduce short-term memory load</w:t>
            </w:r>
          </w:p>
        </w:tc>
        <w:tc>
          <w:tcPr>
            <w:tcW w:type="dxa" w:w="7000"/>
            <w:tcMar>
              <w:top w:type="dxa" w:w="100"/>
              <w:left w:type="dxa" w:w="120"/>
              <w:bottom w:type="dxa" w:w="100"/>
              <w:right w:type="dxa" w:w="120"/>
            </w:tcMar>
            <w:vAlign w:val="center"/>
          </w:tcPr>
          <w:p>
            <w:pPr>
              <w:spacing w:line="276"/>
            </w:pPr>
            <w:r>
              <w:rPr>
                <w:rFonts w:ascii="Calibri" w:cs="Calibri" w:eastAsia="Calibri" w:hAnsi="Calibri"/>
                <w:b w:val="false"/>
                <w:bCs w:val="false"/>
                <w:sz w:val="20"/>
                <w:szCs w:val="20"/>
              </w:rPr>
              <w:t xml:space="preserve">Adequate. Because most homepage elements are self-contained cards rather than steps in a flow, there is little need to remember information from one part of the page to use elsewhere — the main cost to the user is scrolling distance to the flagship resources, not memory load.</w:t>
            </w:r>
          </w:p>
        </w:tc>
      </w:tr>
    </w:tbl>
    <w:p>
      <w:pPr>
        <w:spacing w:before="200"/>
      </w:pPr>
    </w:p>
    <w:p>
      <w:pPr>
        <w:pStyle w:val="Heading1"/>
        <w:spacing w:after="200" w:before="300"/>
      </w:pPr>
      <w:r>
        <w:rPr>
          <w:rFonts w:ascii="Calibri" w:cs="Calibri" w:eastAsia="Calibri" w:hAnsi="Calibri"/>
          <w:b/>
          <w:bCs/>
          <w:sz w:val="26"/>
          <w:szCs w:val="26"/>
        </w:rPr>
        <w:t xml:space="preserve">5. Key Design Problems Identified</w:t>
      </w:r>
    </w:p>
    <w:p>
      <w:pPr>
        <w:pStyle w:val="ListParagraph"/>
        <w:numPr>
          <w:ilvl w:val="0"/>
          <w:numId w:val="1"/>
        </w:numPr>
        <w:spacing w:after="140" w:line="300"/>
      </w:pPr>
      <w:r>
        <w:rPr>
          <w:rFonts w:ascii="Calibri" w:cs="Calibri" w:eastAsia="Calibri" w:hAnsi="Calibri"/>
          <w:sz w:val="22"/>
          <w:szCs w:val="22"/>
        </w:rPr>
        <w:t xml:space="preserve">Documentation buried below promotion: the site's core value — the Top Ten, ASVS, and Cheat Sheets — sits well below several screens of conference and membership cards, rather than near the top where a technical visitor would expect it.</w:t>
      </w:r>
    </w:p>
    <w:p>
      <w:pPr>
        <w:pStyle w:val="ListParagraph"/>
        <w:numPr>
          <w:ilvl w:val="0"/>
          <w:numId w:val="1"/>
        </w:numPr>
        <w:spacing w:after="140" w:line="300"/>
      </w:pPr>
      <w:r>
        <w:rPr>
          <w:rFonts w:ascii="Calibri" w:cs="Calibri" w:eastAsia="Calibri" w:hAnsi="Calibri"/>
          <w:sz w:val="22"/>
          <w:szCs w:val="22"/>
        </w:rPr>
        <w:t xml:space="preserve">Fragmented micro-site experience: individual project and chapter pages are maintained as separate repositories and do not consistently carry the main site's navigation or styling conventions.</w:t>
      </w:r>
    </w:p>
    <w:p>
      <w:pPr>
        <w:pStyle w:val="ListParagraph"/>
        <w:numPr>
          <w:ilvl w:val="0"/>
          <w:numId w:val="1"/>
        </w:numPr>
        <w:spacing w:after="140" w:line="300"/>
      </w:pPr>
      <w:r>
        <w:rPr>
          <w:rFonts w:ascii="Calibri" w:cs="Calibri" w:eastAsia="Calibri" w:hAnsi="Calibri"/>
          <w:sz w:val="22"/>
          <w:szCs w:val="22"/>
        </w:rPr>
        <w:t xml:space="preserve">Search exists but is not discoverable: a dedicated search page is live at owasp.org/search/, yet it is absent from the visible top navigation and footer, so most visitors would not know it exists.</w:t>
      </w:r>
    </w:p>
    <w:p>
      <w:pPr>
        <w:pStyle w:val="ListParagraph"/>
        <w:numPr>
          <w:ilvl w:val="0"/>
          <w:numId w:val="1"/>
        </w:numPr>
        <w:spacing w:after="140" w:line="300"/>
      </w:pPr>
      <w:r>
        <w:rPr>
          <w:rFonts w:ascii="Calibri" w:cs="Calibri" w:eastAsia="Calibri" w:hAnsi="Calibri"/>
          <w:sz w:val="22"/>
          <w:szCs w:val="22"/>
        </w:rPr>
        <w:t xml:space="preserve">No role-based routing: a developer looking for documentation, a student researching an assignment, and a company considering corporate membership all land on an identical, undifferentiated homepage.</w:t>
      </w:r>
    </w:p>
    <w:p>
      <w:pPr>
        <w:pStyle w:val="ListParagraph"/>
        <w:numPr>
          <w:ilvl w:val="0"/>
          <w:numId w:val="1"/>
        </w:numPr>
        <w:spacing w:after="140" w:line="300"/>
      </w:pPr>
      <w:r>
        <w:rPr>
          <w:rFonts w:ascii="Calibri" w:cs="Calibri" w:eastAsia="Calibri" w:hAnsi="Calibri"/>
          <w:sz w:val="22"/>
          <w:szCs w:val="22"/>
        </w:rPr>
        <w:t xml:space="preserve">Accessibility gaps alongside a stated JavaScript dependency: the page itself flags that full functionality needs JavaScript enabled, yet no contrast or text-size fallback is offered for visitors who cannot rely on it.</w:t>
      </w:r>
    </w:p>
    <w:p>
      <w:pPr>
        <w:pStyle w:val="Heading1"/>
        <w:spacing w:after="200" w:before="300"/>
      </w:pPr>
      <w:r>
        <w:rPr>
          <w:rFonts w:ascii="Calibri" w:cs="Calibri" w:eastAsia="Calibri" w:hAnsi="Calibri"/>
          <w:b/>
          <w:bCs/>
          <w:sz w:val="26"/>
          <w:szCs w:val="26"/>
        </w:rPr>
        <w:t xml:space="preserve">6. Recommendations</w:t>
      </w:r>
    </w:p>
    <w:p>
      <w:pPr>
        <w:spacing w:after="200" w:line="300"/>
        <w:jc w:val="both"/>
      </w:pPr>
      <w:r>
        <w:rPr>
          <w:rFonts w:ascii="Calibri" w:cs="Calibri" w:eastAsia="Calibri" w:hAnsi="Calibri"/>
          <w:sz w:val="22"/>
          <w:szCs w:val="22"/>
        </w:rPr>
        <w:t xml:space="preserve">A handful of targeted changes would resolve most of the issues raised above without requiring a full redesign. First, the flagship-resources block — Top Ten, ASVS, and Cheat Sheets — should move above the conference-promotion cards, or at minimum be pinned into a persistent header link, since this is the content most visitors are actually looking for. Second, the existing search page should be surfaced as a visible search bar in the main navigation rather than left undiscoverable at a separate URL. Third, OWASP could publish a shared header and navigation component across its project and chapter micro-sites so that moving from owasp.org to a project page like the Top Ten does not feel like arriving at a different website. Fourth, adding a text-resize or high-contrast toggle, along with reducing reliance on JavaScript for core content, would improve accessibility for visitors on assistive technology or restrictive browsers. Finally, a lightweight intent-based entry point on the homepage — brief options such as "I'm looking for documentation", "I'm attending an event", or "I want to get involved" — would let visitors skip past content that is not relevant to why they came.</w:t>
      </w:r>
    </w:p>
    <w:p>
      <w:pPr>
        <w:pStyle w:val="Heading1"/>
        <w:spacing w:after="200" w:before="300"/>
      </w:pPr>
      <w:r>
        <w:rPr>
          <w:rFonts w:ascii="Calibri" w:cs="Calibri" w:eastAsia="Calibri" w:hAnsi="Calibri"/>
          <w:b/>
          <w:bCs/>
          <w:sz w:val="26"/>
          <w:szCs w:val="26"/>
        </w:rPr>
        <w:t xml:space="preserve">7. Conclusion</w:t>
      </w:r>
    </w:p>
    <w:p>
      <w:pPr>
        <w:spacing w:after="200" w:line="300"/>
        <w:jc w:val="both"/>
      </w:pPr>
      <w:r>
        <w:rPr>
          <w:rFonts w:ascii="Calibri" w:cs="Calibri" w:eastAsia="Calibri" w:hAnsi="Calibri"/>
          <w:sz w:val="22"/>
          <w:szCs w:val="22"/>
        </w:rPr>
        <w:t xml:space="preserve">The OWASP website succeeds in establishing strong credibility and does eventually deliver the resources a technical visitor is looking for — the Top Ten, the ASVS, the Cheat Sheet Series, and a genuine, well-documented community behind them. Its principal weakness is one of ordering and priority rather than missing functionality: conference promotion and membership drives are consistently given more visual weight and homepage real estate than the documentation that gives OWASP its reputation in the first place. For an interface used mainly by developers and security professionals who tend to know exactly what they are looking for, tightening the visual hierarchy around the flagship resources, unifying navigation across the project micro-sites, and making the existing search function visible would bring the site's usability closer to the standard of the security guidance it is built to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2026-08-04T05:36:57.196Z</dcterms:created>
  <dcterms:modified xsi:type="dcterms:W3CDTF">2026-08-04T05:36:57.229Z</dcterms:modified>
</cp:coreProperties>
</file>

<file path=docProps/custom.xml><?xml version="1.0" encoding="utf-8"?>
<Properties xmlns="http://schemas.openxmlformats.org/officeDocument/2006/custom-properties" xmlns:vt="http://schemas.openxmlformats.org/officeDocument/2006/docPropsVTypes"/>
</file>