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薪酬 Band 与定薪建议报告</w:t>
      </w:r>
    </w:p>
    <w:p>
      <w:pPr>
        <w:pStyle w:val="Heading1"/>
        <w:spacing w:after="160"/>
      </w:pPr>
      <w:r>
        <w:t xml:space="preserve">一、岗位与候选人概况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岗位名称</w:t>
            </w:r>
          </w:p>
        </w:tc>
        <w:tc>
          <w:p>
            <w:r>
              <w:t xml:space="preserve">高级用户增长产品经理</w:t>
            </w:r>
          </w:p>
        </w:tc>
      </w:tr>
      <w:tr>
        <w:tc>
          <w:p>
            <w:r>
              <w:rPr>
                <w:b/>
                <w:bCs/>
              </w:rPr>
              <w:t xml:space="preserve">职级</w:t>
            </w:r>
          </w:p>
        </w:tc>
        <w:tc>
          <w:p>
            <w:r>
              <w:t xml:space="preserve">P7</w:t>
            </w:r>
          </w:p>
        </w:tc>
      </w:tr>
      <w:tr>
        <w:tc>
          <w:p>
            <w:r>
              <w:rPr>
                <w:b/>
                <w:bCs/>
              </w:rPr>
              <w:t xml:space="preserve">工作城市</w:t>
            </w:r>
          </w:p>
        </w:tc>
        <w:tc>
          <w:p>
            <w:r>
              <w:t xml:space="preserve">上海</w:t>
            </w:r>
          </w:p>
        </w:tc>
      </w:tr>
      <w:tr>
        <w:tc>
          <w:p>
            <w:r>
              <w:rPr>
                <w:b/>
                <w:bCs/>
              </w:rPr>
              <w:t xml:space="preserve">候选人</w:t>
            </w:r>
          </w:p>
        </w:tc>
        <w:tc>
          <w:p>
            <w:r>
              <w:t xml:space="preserve">周子涵</w:t>
            </w:r>
          </w:p>
        </w:tc>
      </w:tr>
      <w:tr>
        <w:tc>
          <w:p>
            <w:r>
              <w:rPr>
                <w:b/>
                <w:bCs/>
              </w:rPr>
              <w:t xml:space="preserve">当前月薪</w:t>
            </w:r>
          </w:p>
        </w:tc>
        <w:tc>
          <w:p>
            <w:r>
              <w:t xml:space="preserve">36000</w:t>
            </w:r>
          </w:p>
        </w:tc>
      </w:tr>
      <w:tr>
        <w:tc>
          <w:p>
            <w:r>
              <w:rPr>
                <w:b/>
                <w:bCs/>
              </w:rPr>
              <w:t xml:space="preserve">期望月薪</w:t>
            </w:r>
          </w:p>
        </w:tc>
        <w:tc>
          <w:p>
            <w:r>
              <w:t xml:space="preserve">42000</w:t>
            </w:r>
          </w:p>
        </w:tc>
      </w:tr>
      <w:tr>
        <w:tc>
          <w:p>
            <w:r>
              <w:rPr>
                <w:b/>
                <w:bCs/>
              </w:rPr>
              <w:t xml:space="preserve">建议强度</w:t>
            </w:r>
          </w:p>
        </w:tc>
        <w:tc>
          <w:p>
            <w:r>
              <w:t xml:space="preserve">弱建议</w:t>
            </w:r>
          </w:p>
        </w:tc>
      </w:tr>
    </w:tbl>
    <w:p>
      <w:pPr>
        <w:pStyle w:val="Heading1"/>
        <w:spacing w:after="160"/>
      </w:pPr>
      <w:r>
        <w:t xml:space="preserve">二、Band 与市场对标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Band 区间：32000 - 45000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Band 中位值：38000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市场 P25/P50/P75：34000 / 39000 / 46000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内部同级平均月薪：38767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预算范围：未提供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候选人期望位置：位于 band 上半段</w:t>
      </w:r>
    </w:p>
    <w:p>
      <w:pPr>
        <w:pStyle w:val="Heading1"/>
        <w:spacing w:after="160"/>
      </w:pPr>
      <w:r>
        <w:t xml:space="preserve">三、定薪建议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建议强度：弱建议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建议：建议按 band 中高位定薪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建议月薪：42000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主要风险：候选人期望明显高于内部同级平均水平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岗位判断依据：有会员增长、增长实验和跨团队主导经验，业务方反馈较强，属于重点候选人。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市场备注：市场样本以近 12 个月互联网增长产品岗位为主，头部平台给价更高。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仍缺信息：缺少预算范围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2026-05-18T20:28:27.433Z</dcterms:created>
  <dcterms:modified xsi:type="dcterms:W3CDTF">2026-05-18T20:28:27.442Z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