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内部风险说明稿</w:t>
      </w:r>
    </w:p>
    <w:p>
      <w:pPr>
        <w:pStyle w:val="Heading1"/>
        <w:spacing w:after="160"/>
      </w:pPr>
      <w:r>
        <w:t xml:space="preserve">建议发送对象：薪酬、HRBP、财务或共享服务同事</w:t>
      </w:r>
    </w:p>
    <w:p>
      <w:pPr>
        <w:spacing w:after="160"/>
      </w:pPr>
      <w:r>
        <w:t xml:space="preserve">本次申报前检查发现 4 名高风险人员，请优先补齐缺失字段、复核离职人员状态和申报主体/缴纳口径，再进入正式申报。</w:t>
      </w:r>
    </w:p>
    <w:p>
      <w:pPr>
        <w:pStyle w:val="Heading1"/>
        <w:spacing w:after="160"/>
      </w:pPr>
      <w:r>
        <w:t xml:space="preserve">建议补充说明：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高风险项请优先在申报前完成修正。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跨主体或跨城市问题请同步确认当月申报口径。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如需更正上期申报，请单独标记处理，不与本期正常申报混淆。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2026-05-18T19:55:22.125Z</dcterms:created>
  <dcterms:modified xsi:type="dcterms:W3CDTF">2026-05-18T19:55:22.125Z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