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薪酬申报前检查报告</w:t>
      </w:r>
    </w:p>
    <w:p>
      <w:pPr>
        <w:pStyle w:val="Heading1"/>
        <w:spacing w:after="160"/>
      </w:pPr>
      <w:r>
        <w:t xml:space="preserve">一、检查范围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法人主体</w:t>
            </w:r>
          </w:p>
        </w:tc>
        <w:tc>
          <w:p>
            <w:r>
              <w:t xml:space="preserve">上海某科技有限公司</w:t>
            </w:r>
          </w:p>
        </w:tc>
      </w:tr>
      <w:tr>
        <w:tc>
          <w:p>
            <w:r>
              <w:rPr>
                <w:b/>
                <w:bCs/>
              </w:rPr>
              <w:t xml:space="preserve">工资所属月份</w:t>
            </w:r>
          </w:p>
        </w:tc>
        <w:tc>
          <w:p>
            <w:r>
              <w:t xml:space="preserve">2026-04</w:t>
            </w:r>
          </w:p>
        </w:tc>
      </w:tr>
      <w:tr>
        <w:tc>
          <w:p>
            <w:r>
              <w:rPr>
                <w:b/>
                <w:bCs/>
              </w:rPr>
              <w:t xml:space="preserve">检查人数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rPr>
                <w:b/>
                <w:bCs/>
              </w:rPr>
              <w:t xml:space="preserve">准备人</w:t>
            </w:r>
          </w:p>
        </w:tc>
        <w:tc>
          <w:p>
            <w:r>
              <w:t xml:space="preserve">薪酬专员</w:t>
            </w:r>
          </w:p>
        </w:tc>
      </w:tr>
    </w:tbl>
    <w:p>
      <w:pPr>
        <w:pStyle w:val="Heading1"/>
        <w:spacing w:after="160"/>
      </w:pPr>
      <w:r>
        <w:t xml:space="preserve">二、风险概览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高风险问题数：5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中风险问题数：3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低风险问题数：1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高风险人员数：4</w:t>
      </w:r>
    </w:p>
    <w:p>
      <w:pPr>
        <w:pStyle w:val="Heading1"/>
        <w:spacing w:after="160"/>
      </w:pPr>
      <w:r>
        <w:t xml:space="preserve">三、优先处理人员</w:t>
      </w:r>
    </w:p>
    <w:p>
      <w:pPr>
        <w:pStyle w:val="Heading2"/>
        <w:spacing w:after="160"/>
      </w:pPr>
      <w:r>
        <w:t xml:space="preserve">李茜（E002）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缺少工资银行卡信息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公积金需申报但缴存基数为 0</w:t>
      </w:r>
    </w:p>
    <w:p>
      <w:pPr>
        <w:pStyle w:val="Heading2"/>
        <w:spacing w:after="160"/>
      </w:pPr>
      <w:r>
        <w:t xml:space="preserve">陈航（E003）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离职员工仍在本月申报名单中</w:t>
      </w:r>
    </w:p>
    <w:p>
      <w:pPr>
        <w:pStyle w:val="Heading2"/>
        <w:spacing w:after="160"/>
      </w:pPr>
      <w:r>
        <w:t xml:space="preserve">赵琳（E004）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缺少身份证号，存在个税申报风险</w:t>
      </w:r>
    </w:p>
    <w:p>
      <w:pPr>
        <w:pStyle w:val="Heading2"/>
        <w:spacing w:after="160"/>
      </w:pPr>
      <w:r>
        <w:t xml:space="preserve">孙捷（E005）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申报主体与本次发薪主体不一致</w:t>
      </w:r>
    </w:p>
    <w:p>
      <w:pPr>
        <w:pStyle w:val="Heading1"/>
        <w:spacing w:after="160"/>
      </w:pPr>
      <w:r>
        <w:t xml:space="preserve">四、建议下一步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先补齐缺失身份证号、银行卡号和基数字段。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先剔除离职但仍在申报名单中的人员。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复核跨主体、跨城市、社保与公积金申报口径不一致的人员。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高风险问题关闭后，再进入个税、社保、公积金正式申报。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2026-05-18T19:55:22.064Z</dcterms:created>
  <dcterms:modified xsi:type="dcterms:W3CDTF">2026-05-18T19:55:22.073Z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