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vertAnchor="text" w:horzAnchor="margin" w:tblpY="2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6"/>
        <w:gridCol w:w="2029"/>
        <w:gridCol w:w="1029"/>
        <w:gridCol w:w="2123"/>
        <w:gridCol w:w="1029"/>
      </w:tblGrid>
      <w:tr w:rsidR="001F30B1" w:rsidRPr="00870EC5" w14:paraId="794C67FD" w14:textId="77777777" w:rsidTr="00703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C94FFE" w14:textId="77777777" w:rsidR="001F30B1" w:rsidRPr="00870EC5" w:rsidRDefault="001F30B1" w:rsidP="007038B0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9CFFAA" w14:textId="77777777" w:rsidR="001F30B1" w:rsidRPr="001F30B1" w:rsidRDefault="001F30B1" w:rsidP="00703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1F30B1">
              <w:rPr>
                <w:rFonts w:ascii="Cambria" w:hAnsi="Cambria" w:cstheme="minorHAnsi"/>
                <w:sz w:val="20"/>
                <w:szCs w:val="20"/>
              </w:rPr>
              <w:t>Development</w:t>
            </w:r>
          </w:p>
          <w:p w14:paraId="620EAFEB" w14:textId="5E0912C5" w:rsidR="001F30B1" w:rsidRPr="001F30B1" w:rsidRDefault="001F30B1" w:rsidP="00703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b w:val="0"/>
                <w:bCs w:val="0"/>
                <w:sz w:val="20"/>
                <w:szCs w:val="20"/>
              </w:rPr>
            </w:pPr>
            <w:r w:rsidRPr="001F30B1">
              <w:rPr>
                <w:rFonts w:ascii="Cambria" w:hAnsi="Cambria" w:cstheme="minorHAnsi"/>
                <w:b w:val="0"/>
                <w:bCs w:val="0"/>
                <w:sz w:val="20"/>
                <w:szCs w:val="20"/>
              </w:rPr>
              <w:t>(N = 54080, 11.3% died)</w:t>
            </w:r>
          </w:p>
        </w:tc>
        <w:tc>
          <w:tcPr>
            <w:tcW w:w="5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FB2BE" w14:textId="77777777" w:rsidR="001F30B1" w:rsidRDefault="001F30B1" w:rsidP="00703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806F5C" w14:textId="77777777" w:rsidR="001F30B1" w:rsidRPr="00870EC5" w:rsidRDefault="001F30B1" w:rsidP="00703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b w:val="0"/>
                <w:color w:val="000000" w:themeColor="text1"/>
              </w:rPr>
            </w:pPr>
            <w:r w:rsidRPr="00870EC5">
              <w:rPr>
                <w:rFonts w:ascii="Cambria" w:eastAsia="Times New Roman" w:hAnsi="Cambria"/>
                <w:b w:val="0"/>
                <w:color w:val="000000" w:themeColor="text1"/>
              </w:rPr>
              <w:t>Validation</w:t>
            </w:r>
          </w:p>
          <w:p w14:paraId="05F92434" w14:textId="613CDBCD" w:rsidR="001F30B1" w:rsidRPr="00870EC5" w:rsidRDefault="001F30B1" w:rsidP="00703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eastAsia="Times New Roman" w:hAnsi="Cambria"/>
                <w:b w:val="0"/>
                <w:color w:val="000000" w:themeColor="text1"/>
              </w:rPr>
              <w:t xml:space="preserve">(N = </w:t>
            </w:r>
            <w:r w:rsidRPr="00870EC5">
              <w:rPr>
                <w:rFonts w:ascii="Cambria" w:hAnsi="Cambria" w:cstheme="minorHAnsi"/>
                <w:b w:val="0"/>
                <w:color w:val="000000" w:themeColor="text1"/>
                <w:kern w:val="24"/>
              </w:rPr>
              <w:t>43942,</w:t>
            </w:r>
            <w:r>
              <w:rPr>
                <w:rFonts w:ascii="Cambria" w:hAnsi="Cambria" w:cstheme="minorHAnsi"/>
                <w:b w:val="0"/>
                <w:color w:val="000000" w:themeColor="text1"/>
                <w:kern w:val="24"/>
              </w:rPr>
              <w:t xml:space="preserve"> </w:t>
            </w:r>
            <w:r>
              <w:rPr>
                <w:rFonts w:ascii="Cambria" w:eastAsia="Times New Roman" w:hAnsi="Cambria"/>
                <w:b w:val="0"/>
                <w:color w:val="000000" w:themeColor="text1"/>
              </w:rPr>
              <w:t>1</w:t>
            </w:r>
            <w:r w:rsidRPr="00870EC5">
              <w:rPr>
                <w:rFonts w:ascii="Cambria" w:eastAsia="Times New Roman" w:hAnsi="Cambria"/>
                <w:b w:val="0"/>
                <w:color w:val="000000" w:themeColor="text1"/>
              </w:rPr>
              <w:t>0.7%</w:t>
            </w:r>
            <w:r>
              <w:rPr>
                <w:rFonts w:ascii="Cambria" w:eastAsia="Times New Roman" w:hAnsi="Cambria"/>
                <w:b w:val="0"/>
                <w:color w:val="000000" w:themeColor="text1"/>
              </w:rPr>
              <w:t xml:space="preserve"> died</w:t>
            </w:r>
            <w:r w:rsidRPr="00870EC5">
              <w:rPr>
                <w:rFonts w:ascii="Cambria" w:eastAsia="Times New Roman" w:hAnsi="Cambria"/>
                <w:b w:val="0"/>
                <w:color w:val="000000" w:themeColor="text1"/>
              </w:rPr>
              <w:t>)</w:t>
            </w:r>
          </w:p>
        </w:tc>
        <w:tc>
          <w:tcPr>
            <w:tcW w:w="5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E9810" w14:textId="77777777" w:rsidR="001F30B1" w:rsidRDefault="001F30B1" w:rsidP="00703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1F30B1" w:rsidRPr="00870EC5" w14:paraId="135A7BC8" w14:textId="77777777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737F54" w14:textId="77777777" w:rsidR="001F30B1" w:rsidRPr="00870EC5" w:rsidRDefault="001F30B1" w:rsidP="007038B0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E8B539" w14:textId="2F9FE64B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Median (IQR)</w:t>
            </w:r>
          </w:p>
        </w:tc>
        <w:tc>
          <w:tcPr>
            <w:tcW w:w="5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D2147" w14:textId="72CB3161" w:rsidR="001F30B1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% Missing</w:t>
            </w:r>
          </w:p>
        </w:tc>
        <w:tc>
          <w:tcPr>
            <w:tcW w:w="11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7264E8" w14:textId="7CE454C3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Median (IQR)</w:t>
            </w:r>
          </w:p>
        </w:tc>
        <w:tc>
          <w:tcPr>
            <w:tcW w:w="5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5D007" w14:textId="15C06608" w:rsidR="001F30B1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% Missing</w:t>
            </w:r>
          </w:p>
        </w:tc>
      </w:tr>
      <w:tr w:rsidR="001F30B1" w:rsidRPr="00870EC5" w14:paraId="24F6189C" w14:textId="77777777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71D2D2" w14:textId="2FDCEB91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Age (years)</w:t>
            </w:r>
          </w:p>
        </w:tc>
        <w:tc>
          <w:tcPr>
            <w:tcW w:w="112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B197DB" w14:textId="7FDDC4DD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8</w:t>
            </w:r>
            <w:r>
              <w:rPr>
                <w:rFonts w:ascii="Cambria" w:hAnsi="Cambria" w:cstheme="minorHAnsi"/>
                <w:sz w:val="20"/>
                <w:szCs w:val="20"/>
              </w:rPr>
              <w:t>1</w:t>
            </w:r>
            <w:r w:rsidRPr="00870EC5">
              <w:rPr>
                <w:rFonts w:ascii="Cambria" w:hAnsi="Cambria" w:cstheme="minorHAnsi"/>
                <w:sz w:val="20"/>
                <w:szCs w:val="20"/>
              </w:rPr>
              <w:t xml:space="preserve"> (7</w:t>
            </w:r>
            <w:r>
              <w:rPr>
                <w:rFonts w:ascii="Cambria" w:hAnsi="Cambria" w:cstheme="minorHAnsi"/>
                <w:sz w:val="20"/>
                <w:szCs w:val="20"/>
              </w:rPr>
              <w:t>2</w:t>
            </w:r>
            <w:r w:rsidRPr="00870EC5">
              <w:rPr>
                <w:rFonts w:ascii="Cambria" w:hAnsi="Cambria" w:cstheme="minorHAnsi"/>
                <w:sz w:val="20"/>
                <w:szCs w:val="20"/>
              </w:rPr>
              <w:t xml:space="preserve"> - 87)</w:t>
            </w:r>
          </w:p>
        </w:tc>
        <w:tc>
          <w:tcPr>
            <w:tcW w:w="570" w:type="pct"/>
            <w:tcBorders>
              <w:top w:val="single" w:sz="4" w:space="0" w:color="auto"/>
            </w:tcBorders>
            <w:vAlign w:val="center"/>
          </w:tcPr>
          <w:p w14:paraId="471B9708" w14:textId="341350BF" w:rsidR="001F30B1" w:rsidRDefault="008B2EA3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0</w:t>
            </w:r>
          </w:p>
        </w:tc>
        <w:tc>
          <w:tcPr>
            <w:tcW w:w="11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7DEC05" w14:textId="5E94AFA1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80 (71 - 87)</w:t>
            </w:r>
          </w:p>
        </w:tc>
        <w:tc>
          <w:tcPr>
            <w:tcW w:w="570" w:type="pct"/>
            <w:tcBorders>
              <w:top w:val="single" w:sz="4" w:space="0" w:color="auto"/>
            </w:tcBorders>
            <w:vAlign w:val="center"/>
          </w:tcPr>
          <w:p w14:paraId="61D434AF" w14:textId="1116F8F5" w:rsidR="001F30B1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0</w:t>
            </w:r>
          </w:p>
        </w:tc>
      </w:tr>
      <w:tr w:rsidR="001F30B1" w:rsidRPr="00870EC5" w14:paraId="0E1F3FEA" w14:textId="77777777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</w:tcPr>
          <w:p w14:paraId="101AD5E4" w14:textId="753CDD83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proofErr w:type="gramStart"/>
            <w:r>
              <w:rPr>
                <w:rFonts w:ascii="Cambria" w:hAnsi="Cambria" w:cstheme="minorHAnsi"/>
                <w:b w:val="0"/>
                <w:sz w:val="20"/>
                <w:szCs w:val="20"/>
              </w:rPr>
              <w:t>C</w:t>
            </w: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reatinine  (</w:t>
            </w:r>
            <w:proofErr w:type="spellStart"/>
            <w:proofErr w:type="gramEnd"/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μmol</w:t>
            </w:r>
            <w:proofErr w:type="spellEnd"/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/L)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708C4EA9" w14:textId="58E7B6C0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107 (82 - 146)</w:t>
            </w:r>
          </w:p>
        </w:tc>
        <w:tc>
          <w:tcPr>
            <w:tcW w:w="570" w:type="pct"/>
            <w:vAlign w:val="center"/>
          </w:tcPr>
          <w:p w14:paraId="51B2AA7F" w14:textId="49A9F4B5" w:rsidR="001F30B1" w:rsidRDefault="008B2EA3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0.3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E43A2C7" w14:textId="4A6DCDEF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106 (82 - 146)</w:t>
            </w:r>
          </w:p>
        </w:tc>
        <w:tc>
          <w:tcPr>
            <w:tcW w:w="570" w:type="pct"/>
            <w:vAlign w:val="center"/>
          </w:tcPr>
          <w:p w14:paraId="13C88190" w14:textId="39597D63" w:rsidR="001F30B1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0.3</w:t>
            </w:r>
          </w:p>
        </w:tc>
      </w:tr>
      <w:tr w:rsidR="001F30B1" w:rsidRPr="00870EC5" w14:paraId="0338C0D8" w14:textId="77777777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</w:tcPr>
          <w:p w14:paraId="0DBB919B" w14:textId="2B62D091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proofErr w:type="gramStart"/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Sodium  (</w:t>
            </w:r>
            <w:proofErr w:type="gramEnd"/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m</w:t>
            </w:r>
            <w:r>
              <w:rPr>
                <w:rFonts w:ascii="Cambria" w:hAnsi="Cambria" w:cstheme="minorHAnsi"/>
                <w:b w:val="0"/>
                <w:sz w:val="20"/>
                <w:szCs w:val="20"/>
              </w:rPr>
              <w:t>mol</w:t>
            </w: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/L)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6FCD9A68" w14:textId="5291B8D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138 (135 - 141)</w:t>
            </w:r>
          </w:p>
        </w:tc>
        <w:tc>
          <w:tcPr>
            <w:tcW w:w="570" w:type="pct"/>
            <w:vAlign w:val="center"/>
          </w:tcPr>
          <w:p w14:paraId="3DA98357" w14:textId="642260A7" w:rsidR="001F30B1" w:rsidRDefault="008B2EA3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0.6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B206850" w14:textId="0F270F16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138 (135 - 141)</w:t>
            </w:r>
          </w:p>
        </w:tc>
        <w:tc>
          <w:tcPr>
            <w:tcW w:w="570" w:type="pct"/>
            <w:vAlign w:val="center"/>
          </w:tcPr>
          <w:p w14:paraId="154E9863" w14:textId="7075B2D7" w:rsidR="001F30B1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E57C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8B2E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1F30B1" w:rsidRPr="00870EC5" w14:paraId="67C598C1" w14:textId="77777777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</w:tcPr>
          <w:p w14:paraId="283EDB4E" w14:textId="08E80B91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proofErr w:type="gramStart"/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Potassium  (</w:t>
            </w:r>
            <w:proofErr w:type="gramEnd"/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mmol/L)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0E6FFA9C" w14:textId="4FBAE071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4.2 (3.9 - 4.6)</w:t>
            </w:r>
          </w:p>
        </w:tc>
        <w:tc>
          <w:tcPr>
            <w:tcW w:w="570" w:type="pct"/>
            <w:vAlign w:val="center"/>
          </w:tcPr>
          <w:p w14:paraId="78EDD9C8" w14:textId="6AA8B515" w:rsidR="001F30B1" w:rsidRDefault="008B2EA3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2.1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7C8C6D0" w14:textId="759222F8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4.2 (3.8 - 4.6)</w:t>
            </w:r>
          </w:p>
        </w:tc>
        <w:tc>
          <w:tcPr>
            <w:tcW w:w="570" w:type="pct"/>
            <w:vAlign w:val="center"/>
          </w:tcPr>
          <w:p w14:paraId="4C800ED3" w14:textId="2FF93ED4" w:rsidR="001F30B1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E57C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="008B2E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1F30B1" w:rsidRPr="00870EC5" w14:paraId="07FF4BE0" w14:textId="77777777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</w:tcPr>
          <w:p w14:paraId="490E52C4" w14:textId="491078B1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Urea (m</w:t>
            </w:r>
            <w:r>
              <w:rPr>
                <w:rFonts w:ascii="Cambria" w:hAnsi="Cambria" w:cstheme="minorHAnsi"/>
                <w:b w:val="0"/>
                <w:sz w:val="20"/>
                <w:szCs w:val="20"/>
              </w:rPr>
              <w:t>mol</w:t>
            </w: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/L)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458A00A5" w14:textId="3B6CEA2B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9.7 (6.8 - 15.1)</w:t>
            </w:r>
          </w:p>
        </w:tc>
        <w:tc>
          <w:tcPr>
            <w:tcW w:w="570" w:type="pct"/>
            <w:vAlign w:val="center"/>
          </w:tcPr>
          <w:p w14:paraId="5A4792CE" w14:textId="4ECE16C4" w:rsidR="001F30B1" w:rsidRDefault="008B2EA3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2.6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6D7D303" w14:textId="39C92B62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9.7 (6.8 - 5.4)</w:t>
            </w:r>
          </w:p>
        </w:tc>
        <w:tc>
          <w:tcPr>
            <w:tcW w:w="570" w:type="pct"/>
            <w:vAlign w:val="center"/>
          </w:tcPr>
          <w:p w14:paraId="20C6DC54" w14:textId="3AED0BCB" w:rsidR="001F30B1" w:rsidRDefault="008B2EA3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3.3</w:t>
            </w:r>
          </w:p>
        </w:tc>
      </w:tr>
      <w:tr w:rsidR="001F30B1" w:rsidRPr="00870EC5" w14:paraId="6F0064A5" w14:textId="77777777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</w:tcPr>
          <w:p w14:paraId="6862AF05" w14:textId="610AABD6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>
              <w:rPr>
                <w:rFonts w:ascii="Cambria" w:hAnsi="Cambria" w:cstheme="minorHAnsi"/>
                <w:b w:val="0"/>
                <w:sz w:val="20"/>
                <w:szCs w:val="20"/>
              </w:rPr>
              <w:t xml:space="preserve">SBP at admission </w:t>
            </w: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(mmHg)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2CE137F9" w14:textId="5C605A32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131 (115 - 151)</w:t>
            </w:r>
          </w:p>
        </w:tc>
        <w:tc>
          <w:tcPr>
            <w:tcW w:w="570" w:type="pct"/>
            <w:vAlign w:val="center"/>
          </w:tcPr>
          <w:p w14:paraId="572D072C" w14:textId="4D70C8BF" w:rsidR="001F30B1" w:rsidRDefault="008B2EA3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4.1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5791A44" w14:textId="1AC4F5D3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131 (115 -</w:t>
            </w:r>
            <w:r>
              <w:rPr>
                <w:rFonts w:ascii="Cambria" w:hAnsi="Cambria" w:cstheme="minorHAnsi"/>
                <w:sz w:val="20"/>
                <w:szCs w:val="20"/>
              </w:rPr>
              <w:t xml:space="preserve"> </w:t>
            </w:r>
            <w:r w:rsidRPr="00870EC5">
              <w:rPr>
                <w:rFonts w:ascii="Cambria" w:hAnsi="Cambria" w:cstheme="minorHAnsi"/>
                <w:sz w:val="20"/>
                <w:szCs w:val="20"/>
              </w:rPr>
              <w:t>150)</w:t>
            </w:r>
          </w:p>
        </w:tc>
        <w:tc>
          <w:tcPr>
            <w:tcW w:w="570" w:type="pct"/>
            <w:vAlign w:val="center"/>
          </w:tcPr>
          <w:p w14:paraId="41F1A980" w14:textId="61F9AD48" w:rsidR="001F30B1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E57C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="008B2E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1F30B1" w:rsidRPr="00870EC5" w14:paraId="6F6A967B" w14:textId="77777777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</w:tcPr>
          <w:p w14:paraId="4D0FB70C" w14:textId="716F264D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 xml:space="preserve">Heart </w:t>
            </w:r>
            <w:r>
              <w:rPr>
                <w:rFonts w:ascii="Cambria" w:hAnsi="Cambria" w:cstheme="minorHAnsi"/>
                <w:b w:val="0"/>
                <w:sz w:val="20"/>
                <w:szCs w:val="20"/>
              </w:rPr>
              <w:t>r</w:t>
            </w: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ate at admission (</w:t>
            </w:r>
            <w:r>
              <w:rPr>
                <w:rFonts w:ascii="Cambria" w:hAnsi="Cambria" w:cstheme="minorHAnsi"/>
                <w:b w:val="0"/>
                <w:sz w:val="20"/>
                <w:szCs w:val="20"/>
              </w:rPr>
              <w:t>/min</w:t>
            </w: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)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6EEE3594" w14:textId="7771238D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84 (70 - 100)</w:t>
            </w:r>
          </w:p>
        </w:tc>
        <w:tc>
          <w:tcPr>
            <w:tcW w:w="570" w:type="pct"/>
            <w:vAlign w:val="center"/>
          </w:tcPr>
          <w:p w14:paraId="438A5006" w14:textId="229CD2AF" w:rsidR="001F30B1" w:rsidRDefault="008B2EA3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4.0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C2CC754" w14:textId="53F5E0FC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83 (70 - 100)</w:t>
            </w:r>
          </w:p>
        </w:tc>
        <w:tc>
          <w:tcPr>
            <w:tcW w:w="570" w:type="pct"/>
            <w:vAlign w:val="center"/>
          </w:tcPr>
          <w:p w14:paraId="4CE7B07D" w14:textId="045F853F" w:rsidR="001F30B1" w:rsidRDefault="008B2EA3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4.1</w:t>
            </w:r>
          </w:p>
        </w:tc>
      </w:tr>
      <w:tr w:rsidR="001F30B1" w:rsidRPr="00870EC5" w14:paraId="34C4DBCE" w14:textId="77777777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</w:tcPr>
          <w:p w14:paraId="748F5115" w14:textId="17F2EEED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H</w:t>
            </w:r>
            <w:r>
              <w:rPr>
                <w:rFonts w:ascii="Cambria" w:hAnsi="Cambria" w:cstheme="minorHAnsi"/>
                <w:b w:val="0"/>
                <w:sz w:val="20"/>
                <w:szCs w:val="20"/>
              </w:rPr>
              <w:t>a</w:t>
            </w: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emoglobin (g/dL)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3926863E" w14:textId="250C6F5B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11.9 (10.5- 13.4)</w:t>
            </w:r>
          </w:p>
        </w:tc>
        <w:tc>
          <w:tcPr>
            <w:tcW w:w="570" w:type="pct"/>
            <w:vAlign w:val="center"/>
          </w:tcPr>
          <w:p w14:paraId="15F8DCDB" w14:textId="48609368" w:rsidR="001F30B1" w:rsidRDefault="008B2EA3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1.4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73D795B" w14:textId="4F042B12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11.9 (10.5 - 13.4)</w:t>
            </w:r>
          </w:p>
        </w:tc>
        <w:tc>
          <w:tcPr>
            <w:tcW w:w="570" w:type="pct"/>
            <w:vAlign w:val="center"/>
          </w:tcPr>
          <w:p w14:paraId="5C654996" w14:textId="64E62C60" w:rsidR="001F30B1" w:rsidRDefault="008B2EA3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2.5</w:t>
            </w:r>
          </w:p>
        </w:tc>
      </w:tr>
      <w:tr w:rsidR="001F30B1" w:rsidRPr="00870EC5" w14:paraId="0F26B1E2" w14:textId="77777777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</w:tcPr>
          <w:p w14:paraId="3576E158" w14:textId="77777777" w:rsidR="001F30B1" w:rsidRPr="00870EC5" w:rsidRDefault="001F30B1" w:rsidP="007038B0">
            <w:pPr>
              <w:jc w:val="center"/>
              <w:rPr>
                <w:rFonts w:ascii="Cambria" w:hAnsi="Cambria" w:cstheme="minorHAnsi"/>
                <w:b w:val="0"/>
                <w:sz w:val="20"/>
                <w:szCs w:val="20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2CAFBFC4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6D5C9106" w14:textId="77777777" w:rsidR="001F30B1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auto"/>
            <w:vAlign w:val="center"/>
          </w:tcPr>
          <w:p w14:paraId="133496AF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638562A8" w14:textId="77777777" w:rsidR="001F30B1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1F30B1" w:rsidRPr="00870EC5" w14:paraId="7FF4B854" w14:textId="3483EB71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86853" w14:textId="77777777" w:rsidR="0018788C" w:rsidRPr="00870EC5" w:rsidRDefault="0018788C" w:rsidP="007038B0">
            <w:pPr>
              <w:jc w:val="center"/>
              <w:rPr>
                <w:rFonts w:ascii="Cambria" w:hAnsi="Cambria" w:cstheme="minorHAnsi"/>
                <w:b w:val="0"/>
                <w:sz w:val="20"/>
                <w:szCs w:val="20"/>
              </w:rPr>
            </w:pPr>
          </w:p>
        </w:tc>
        <w:tc>
          <w:tcPr>
            <w:tcW w:w="112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73CD9" w14:textId="77777777" w:rsidR="0018788C" w:rsidRPr="00870EC5" w:rsidRDefault="0018788C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N (%)</w:t>
            </w:r>
          </w:p>
        </w:tc>
        <w:tc>
          <w:tcPr>
            <w:tcW w:w="570" w:type="pct"/>
            <w:tcBorders>
              <w:bottom w:val="single" w:sz="4" w:space="0" w:color="auto"/>
            </w:tcBorders>
            <w:vAlign w:val="center"/>
          </w:tcPr>
          <w:p w14:paraId="711FC53F" w14:textId="7AEBCFF4" w:rsidR="0018788C" w:rsidRPr="00870EC5" w:rsidRDefault="0018788C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% Missing</w:t>
            </w:r>
          </w:p>
        </w:tc>
        <w:tc>
          <w:tcPr>
            <w:tcW w:w="1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33ACA2" w14:textId="68571DD1" w:rsidR="0018788C" w:rsidRPr="00870EC5" w:rsidRDefault="0018788C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N (%)</w:t>
            </w:r>
          </w:p>
        </w:tc>
        <w:tc>
          <w:tcPr>
            <w:tcW w:w="570" w:type="pct"/>
            <w:tcBorders>
              <w:bottom w:val="single" w:sz="4" w:space="0" w:color="auto"/>
            </w:tcBorders>
            <w:vAlign w:val="center"/>
          </w:tcPr>
          <w:p w14:paraId="43EC1A54" w14:textId="01829565" w:rsidR="0018788C" w:rsidRPr="00870EC5" w:rsidRDefault="0018788C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% Missing</w:t>
            </w:r>
          </w:p>
        </w:tc>
      </w:tr>
      <w:tr w:rsidR="007038B0" w:rsidRPr="00870EC5" w14:paraId="3C554960" w14:textId="53BADEE8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507B01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Female</w:t>
            </w:r>
          </w:p>
        </w:tc>
        <w:tc>
          <w:tcPr>
            <w:tcW w:w="1124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8BC562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24728 (45.7%)</w:t>
            </w:r>
          </w:p>
        </w:tc>
        <w:tc>
          <w:tcPr>
            <w:tcW w:w="570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6ED2EDD" w14:textId="3C03E2FC" w:rsidR="001F30B1" w:rsidRPr="00870EC5" w:rsidRDefault="008B2EA3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0</w:t>
            </w:r>
          </w:p>
        </w:tc>
        <w:tc>
          <w:tcPr>
            <w:tcW w:w="1176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D10F057" w14:textId="6ADEF86C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19879 (45.2%)</w:t>
            </w:r>
          </w:p>
        </w:tc>
        <w:tc>
          <w:tcPr>
            <w:tcW w:w="570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30654AE" w14:textId="0DACAA70" w:rsidR="001F30B1" w:rsidRPr="00870EC5" w:rsidRDefault="008B2EA3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0</w:t>
            </w:r>
          </w:p>
        </w:tc>
      </w:tr>
      <w:tr w:rsidR="007038B0" w:rsidRPr="00870EC5" w14:paraId="07E1AFE5" w14:textId="64EB6E5A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E7E6E6" w:themeFill="background2"/>
            <w:vAlign w:val="center"/>
            <w:hideMark/>
          </w:tcPr>
          <w:p w14:paraId="2EECB487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Male</w:t>
            </w:r>
          </w:p>
        </w:tc>
        <w:tc>
          <w:tcPr>
            <w:tcW w:w="1124" w:type="pct"/>
            <w:shd w:val="clear" w:color="auto" w:fill="E7E6E6" w:themeFill="background2"/>
            <w:vAlign w:val="center"/>
            <w:hideMark/>
          </w:tcPr>
          <w:p w14:paraId="49D671EA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29352 (54.3%)</w:t>
            </w: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263A878C" w14:textId="111754B4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E7E6E6" w:themeFill="background2"/>
            <w:vAlign w:val="center"/>
          </w:tcPr>
          <w:p w14:paraId="3181D87D" w14:textId="542B8FDA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24063 (54.8%)</w:t>
            </w: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36F5560D" w14:textId="511AD6BB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1F30B1" w:rsidRPr="00870EC5" w14:paraId="50E7CFB4" w14:textId="7CF30503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  <w:hideMark/>
          </w:tcPr>
          <w:p w14:paraId="782587EE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Previous diagnosis of diabetes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52DCA7F3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6B02104E" w14:textId="7B29564F" w:rsidR="001F30B1" w:rsidRPr="00870EC5" w:rsidRDefault="008B2EA3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0.6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EBDFF5C" w14:textId="2E6EC82C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1214518F" w14:textId="5B5C9529" w:rsidR="001F30B1" w:rsidRPr="00870EC5" w:rsidRDefault="008B2EA3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0.5</w:t>
            </w:r>
          </w:p>
        </w:tc>
      </w:tr>
      <w:tr w:rsidR="001F30B1" w:rsidRPr="00870EC5" w14:paraId="3B3B4F2D" w14:textId="30898C07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  <w:hideMark/>
          </w:tcPr>
          <w:p w14:paraId="6817FB4A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Yes</w:t>
            </w:r>
          </w:p>
        </w:tc>
        <w:tc>
          <w:tcPr>
            <w:tcW w:w="1124" w:type="pct"/>
            <w:shd w:val="clear" w:color="auto" w:fill="auto"/>
            <w:vAlign w:val="center"/>
            <w:hideMark/>
          </w:tcPr>
          <w:p w14:paraId="7B1029FC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18277 (34.0%)</w:t>
            </w:r>
          </w:p>
        </w:tc>
        <w:tc>
          <w:tcPr>
            <w:tcW w:w="570" w:type="pct"/>
            <w:vAlign w:val="center"/>
          </w:tcPr>
          <w:p w14:paraId="160A1281" w14:textId="56774D48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auto"/>
            <w:vAlign w:val="center"/>
          </w:tcPr>
          <w:p w14:paraId="289EB53A" w14:textId="493875C0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15131 (34.6%)</w:t>
            </w:r>
          </w:p>
        </w:tc>
        <w:tc>
          <w:tcPr>
            <w:tcW w:w="570" w:type="pct"/>
            <w:vAlign w:val="center"/>
          </w:tcPr>
          <w:p w14:paraId="27CDC169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1F30B1" w:rsidRPr="00870EC5" w14:paraId="1472B344" w14:textId="1B819CF5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  <w:hideMark/>
          </w:tcPr>
          <w:p w14:paraId="6D594DBB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No</w:t>
            </w:r>
          </w:p>
        </w:tc>
        <w:tc>
          <w:tcPr>
            <w:tcW w:w="1124" w:type="pct"/>
            <w:shd w:val="clear" w:color="auto" w:fill="auto"/>
            <w:vAlign w:val="center"/>
            <w:hideMark/>
          </w:tcPr>
          <w:p w14:paraId="1607FDB7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35469 (66.0%)</w:t>
            </w:r>
          </w:p>
        </w:tc>
        <w:tc>
          <w:tcPr>
            <w:tcW w:w="570" w:type="pct"/>
            <w:vAlign w:val="center"/>
          </w:tcPr>
          <w:p w14:paraId="65CADAFC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auto"/>
            <w:vAlign w:val="center"/>
          </w:tcPr>
          <w:p w14:paraId="645BDA6E" w14:textId="1B74AAD8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28575 (65.4%)</w:t>
            </w:r>
          </w:p>
        </w:tc>
        <w:tc>
          <w:tcPr>
            <w:tcW w:w="570" w:type="pct"/>
            <w:vAlign w:val="center"/>
          </w:tcPr>
          <w:p w14:paraId="566F253D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7038B0" w:rsidRPr="00870EC5" w14:paraId="16118E14" w14:textId="00F484E2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E7E6E6" w:themeFill="background2"/>
            <w:vAlign w:val="center"/>
            <w:hideMark/>
          </w:tcPr>
          <w:p w14:paraId="0F53E530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Previous diagnosis of COPD</w:t>
            </w:r>
          </w:p>
        </w:tc>
        <w:tc>
          <w:tcPr>
            <w:tcW w:w="1124" w:type="pct"/>
            <w:shd w:val="clear" w:color="auto" w:fill="E7E6E6" w:themeFill="background2"/>
            <w:vAlign w:val="center"/>
          </w:tcPr>
          <w:p w14:paraId="208C1FBB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59F7819A" w14:textId="7BF83357" w:rsidR="001F30B1" w:rsidRPr="00870EC5" w:rsidRDefault="008B2EA3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1.0</w:t>
            </w:r>
          </w:p>
        </w:tc>
        <w:tc>
          <w:tcPr>
            <w:tcW w:w="1176" w:type="pct"/>
            <w:shd w:val="clear" w:color="auto" w:fill="E7E6E6" w:themeFill="background2"/>
            <w:vAlign w:val="center"/>
          </w:tcPr>
          <w:p w14:paraId="299DB347" w14:textId="323FF06E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3F9A7EE9" w14:textId="0685FDAB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1.</w:t>
            </w:r>
            <w:r w:rsidR="008B2EA3">
              <w:rPr>
                <w:rFonts w:ascii="Cambria" w:hAnsi="Cambria" w:cstheme="minorHAnsi"/>
                <w:sz w:val="20"/>
                <w:szCs w:val="20"/>
              </w:rPr>
              <w:t>2</w:t>
            </w:r>
          </w:p>
        </w:tc>
      </w:tr>
      <w:tr w:rsidR="007038B0" w:rsidRPr="00870EC5" w14:paraId="08D52DC5" w14:textId="25037BF3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E7E6E6" w:themeFill="background2"/>
            <w:vAlign w:val="center"/>
            <w:hideMark/>
          </w:tcPr>
          <w:p w14:paraId="3A845362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Yes</w:t>
            </w:r>
          </w:p>
        </w:tc>
        <w:tc>
          <w:tcPr>
            <w:tcW w:w="1124" w:type="pct"/>
            <w:shd w:val="clear" w:color="auto" w:fill="E7E6E6" w:themeFill="background2"/>
            <w:vAlign w:val="center"/>
            <w:hideMark/>
          </w:tcPr>
          <w:p w14:paraId="017FA056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9924 (18.5%)</w:t>
            </w: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6C80C9F4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E7E6E6" w:themeFill="background2"/>
            <w:vAlign w:val="center"/>
          </w:tcPr>
          <w:p w14:paraId="0485941C" w14:textId="0733E264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8004 (18.4%)</w:t>
            </w: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11B6ED46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7038B0" w:rsidRPr="00870EC5" w14:paraId="500283A9" w14:textId="31B961A9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E7E6E6" w:themeFill="background2"/>
            <w:vAlign w:val="center"/>
            <w:hideMark/>
          </w:tcPr>
          <w:p w14:paraId="754996F2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No</w:t>
            </w:r>
          </w:p>
        </w:tc>
        <w:tc>
          <w:tcPr>
            <w:tcW w:w="1124" w:type="pct"/>
            <w:shd w:val="clear" w:color="auto" w:fill="E7E6E6" w:themeFill="background2"/>
            <w:vAlign w:val="center"/>
            <w:hideMark/>
          </w:tcPr>
          <w:p w14:paraId="2330C933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43598 (81.5%)</w:t>
            </w: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0F2EE967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E7E6E6" w:themeFill="background2"/>
            <w:vAlign w:val="center"/>
          </w:tcPr>
          <w:p w14:paraId="15CEA309" w14:textId="23D07540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35429 (81.6%)</w:t>
            </w: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2FE451F5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1F30B1" w:rsidRPr="00870EC5" w14:paraId="1217A476" w14:textId="6528FB5E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  <w:hideMark/>
          </w:tcPr>
          <w:p w14:paraId="0B81D120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 xml:space="preserve">Previous diagnosis of </w:t>
            </w:r>
            <w:r>
              <w:rPr>
                <w:rFonts w:ascii="Cambria" w:hAnsi="Cambria" w:cstheme="minorHAnsi"/>
                <w:b w:val="0"/>
                <w:sz w:val="20"/>
                <w:szCs w:val="20"/>
              </w:rPr>
              <w:t>v</w:t>
            </w: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 xml:space="preserve">alve </w:t>
            </w:r>
            <w:r>
              <w:rPr>
                <w:rFonts w:ascii="Cambria" w:hAnsi="Cambria" w:cstheme="minorHAnsi"/>
                <w:b w:val="0"/>
                <w:sz w:val="20"/>
                <w:szCs w:val="20"/>
              </w:rPr>
              <w:t>d</w:t>
            </w: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isease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0E406D3A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04ACA09F" w14:textId="362D677B" w:rsidR="001F30B1" w:rsidRPr="00870EC5" w:rsidRDefault="008B2EA3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2.0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5BED3A6" w14:textId="15BCBD08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70403D68" w14:textId="746D41A0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2.</w:t>
            </w:r>
            <w:r w:rsidR="008B2EA3">
              <w:rPr>
                <w:rFonts w:ascii="Cambria" w:hAnsi="Cambria" w:cstheme="minorHAnsi"/>
                <w:sz w:val="20"/>
                <w:szCs w:val="20"/>
              </w:rPr>
              <w:t>6</w:t>
            </w:r>
          </w:p>
        </w:tc>
      </w:tr>
      <w:tr w:rsidR="001F30B1" w:rsidRPr="00870EC5" w14:paraId="6C31764B" w14:textId="6B80AD13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  <w:hideMark/>
          </w:tcPr>
          <w:p w14:paraId="300D0CD3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Yes</w:t>
            </w:r>
          </w:p>
        </w:tc>
        <w:tc>
          <w:tcPr>
            <w:tcW w:w="1124" w:type="pct"/>
            <w:shd w:val="clear" w:color="auto" w:fill="auto"/>
            <w:vAlign w:val="center"/>
            <w:hideMark/>
          </w:tcPr>
          <w:p w14:paraId="7FB1B8D7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13891 (26.2%)</w:t>
            </w:r>
          </w:p>
        </w:tc>
        <w:tc>
          <w:tcPr>
            <w:tcW w:w="570" w:type="pct"/>
            <w:vAlign w:val="center"/>
          </w:tcPr>
          <w:p w14:paraId="5E8D9DAC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auto"/>
            <w:vAlign w:val="center"/>
          </w:tcPr>
          <w:p w14:paraId="6ED8C839" w14:textId="6D9A968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12463 (29.1%)</w:t>
            </w:r>
          </w:p>
        </w:tc>
        <w:tc>
          <w:tcPr>
            <w:tcW w:w="570" w:type="pct"/>
            <w:vAlign w:val="center"/>
          </w:tcPr>
          <w:p w14:paraId="427C9A21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1F30B1" w:rsidRPr="00870EC5" w14:paraId="6AB255C9" w14:textId="4131B0F1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  <w:hideMark/>
          </w:tcPr>
          <w:p w14:paraId="40941561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No</w:t>
            </w:r>
          </w:p>
        </w:tc>
        <w:tc>
          <w:tcPr>
            <w:tcW w:w="1124" w:type="pct"/>
            <w:shd w:val="clear" w:color="auto" w:fill="auto"/>
            <w:vAlign w:val="center"/>
            <w:hideMark/>
          </w:tcPr>
          <w:p w14:paraId="0C050714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39098 (73.8%)</w:t>
            </w:r>
          </w:p>
        </w:tc>
        <w:tc>
          <w:tcPr>
            <w:tcW w:w="570" w:type="pct"/>
            <w:vAlign w:val="center"/>
          </w:tcPr>
          <w:p w14:paraId="20AA2A73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auto"/>
            <w:vAlign w:val="center"/>
          </w:tcPr>
          <w:p w14:paraId="23B41035" w14:textId="79E6A739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30350 (70.9%)</w:t>
            </w:r>
          </w:p>
        </w:tc>
        <w:tc>
          <w:tcPr>
            <w:tcW w:w="570" w:type="pct"/>
            <w:vAlign w:val="center"/>
          </w:tcPr>
          <w:p w14:paraId="2A5DD5EF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7038B0" w:rsidRPr="00870EC5" w14:paraId="6576DB49" w14:textId="6CE4F721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E7E6E6" w:themeFill="background2"/>
            <w:vAlign w:val="center"/>
          </w:tcPr>
          <w:p w14:paraId="5691DFC7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Previous ischaemic heart disease</w:t>
            </w:r>
          </w:p>
        </w:tc>
        <w:tc>
          <w:tcPr>
            <w:tcW w:w="1124" w:type="pct"/>
            <w:shd w:val="clear" w:color="auto" w:fill="E7E6E6" w:themeFill="background2"/>
            <w:vAlign w:val="center"/>
          </w:tcPr>
          <w:p w14:paraId="3542B461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030D5C4A" w14:textId="7DE3D200" w:rsidR="001F30B1" w:rsidRPr="00870EC5" w:rsidRDefault="008B2EA3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1.8</w:t>
            </w:r>
          </w:p>
        </w:tc>
        <w:tc>
          <w:tcPr>
            <w:tcW w:w="1176" w:type="pct"/>
            <w:shd w:val="clear" w:color="auto" w:fill="E7E6E6" w:themeFill="background2"/>
            <w:vAlign w:val="center"/>
          </w:tcPr>
          <w:p w14:paraId="5E1B1CEA" w14:textId="3B2B3141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26E9ADDE" w14:textId="6B295E0C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E57C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</w:t>
            </w:r>
          </w:p>
        </w:tc>
      </w:tr>
      <w:tr w:rsidR="007038B0" w:rsidRPr="00870EC5" w14:paraId="0374BC37" w14:textId="6DBFE14E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E7E6E6" w:themeFill="background2"/>
            <w:vAlign w:val="center"/>
            <w:hideMark/>
          </w:tcPr>
          <w:p w14:paraId="1BC75AEF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Yes</w:t>
            </w:r>
          </w:p>
        </w:tc>
        <w:tc>
          <w:tcPr>
            <w:tcW w:w="1124" w:type="pct"/>
            <w:shd w:val="clear" w:color="auto" w:fill="E7E6E6" w:themeFill="background2"/>
            <w:vAlign w:val="center"/>
            <w:hideMark/>
          </w:tcPr>
          <w:p w14:paraId="49F84D61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21348 (40.2%)</w:t>
            </w: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6112F9DF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E7E6E6" w:themeFill="background2"/>
            <w:vAlign w:val="center"/>
          </w:tcPr>
          <w:p w14:paraId="5AF86EA7" w14:textId="329A35E9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17290 (40.1%)</w:t>
            </w: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75336E5C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7038B0" w:rsidRPr="00870EC5" w14:paraId="417BBD4F" w14:textId="511DB788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E7E6E6" w:themeFill="background2"/>
            <w:vAlign w:val="center"/>
            <w:hideMark/>
          </w:tcPr>
          <w:p w14:paraId="3065457A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No</w:t>
            </w:r>
          </w:p>
        </w:tc>
        <w:tc>
          <w:tcPr>
            <w:tcW w:w="1124" w:type="pct"/>
            <w:shd w:val="clear" w:color="auto" w:fill="E7E6E6" w:themeFill="background2"/>
            <w:vAlign w:val="center"/>
            <w:hideMark/>
          </w:tcPr>
          <w:p w14:paraId="38271557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31749 (59.8%)</w:t>
            </w: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5B24C27A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E7E6E6" w:themeFill="background2"/>
            <w:vAlign w:val="center"/>
          </w:tcPr>
          <w:p w14:paraId="647F5C94" w14:textId="3008C2C5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25841 (59.9%)</w:t>
            </w: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7C16BCD6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1F30B1" w:rsidRPr="00870EC5" w14:paraId="57CADCB5" w14:textId="0F57552E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  <w:hideMark/>
          </w:tcPr>
          <w:p w14:paraId="431A6933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NYHA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674299C6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06B274FE" w14:textId="3C8B5939" w:rsidR="001F30B1" w:rsidRPr="00870EC5" w:rsidRDefault="008B2EA3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4.4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1B045AD" w14:textId="2C45A40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246B8DDE" w14:textId="2D09D9D6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E57C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</w:t>
            </w:r>
          </w:p>
        </w:tc>
      </w:tr>
      <w:tr w:rsidR="001F30B1" w:rsidRPr="00870EC5" w14:paraId="01525EC6" w14:textId="4D2E546A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</w:tcPr>
          <w:p w14:paraId="1C820331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I/II</w:t>
            </w:r>
          </w:p>
        </w:tc>
        <w:tc>
          <w:tcPr>
            <w:tcW w:w="1124" w:type="pct"/>
            <w:shd w:val="clear" w:color="auto" w:fill="auto"/>
            <w:vAlign w:val="center"/>
            <w:hideMark/>
          </w:tcPr>
          <w:p w14:paraId="42C136CF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10895 (21.1%)</w:t>
            </w:r>
          </w:p>
        </w:tc>
        <w:tc>
          <w:tcPr>
            <w:tcW w:w="570" w:type="pct"/>
            <w:vAlign w:val="center"/>
          </w:tcPr>
          <w:p w14:paraId="11A135B2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auto"/>
            <w:vAlign w:val="center"/>
          </w:tcPr>
          <w:p w14:paraId="531D37A9" w14:textId="073EDC9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8712 (20.7%)</w:t>
            </w:r>
          </w:p>
        </w:tc>
        <w:tc>
          <w:tcPr>
            <w:tcW w:w="570" w:type="pct"/>
            <w:vAlign w:val="center"/>
          </w:tcPr>
          <w:p w14:paraId="05694D63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1F30B1" w:rsidRPr="00870EC5" w14:paraId="1A1CF1BE" w14:textId="33CA9181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</w:tcPr>
          <w:p w14:paraId="500A7119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III/IV</w:t>
            </w:r>
          </w:p>
        </w:tc>
        <w:tc>
          <w:tcPr>
            <w:tcW w:w="1124" w:type="pct"/>
            <w:shd w:val="clear" w:color="auto" w:fill="auto"/>
            <w:vAlign w:val="center"/>
            <w:hideMark/>
          </w:tcPr>
          <w:p w14:paraId="3BA1BB81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40781 (78.9%)</w:t>
            </w:r>
          </w:p>
        </w:tc>
        <w:tc>
          <w:tcPr>
            <w:tcW w:w="570" w:type="pct"/>
            <w:vAlign w:val="center"/>
          </w:tcPr>
          <w:p w14:paraId="374B1424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auto"/>
            <w:vAlign w:val="center"/>
          </w:tcPr>
          <w:p w14:paraId="7741FBE4" w14:textId="7095A0EA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33287 (79.3%)</w:t>
            </w:r>
          </w:p>
        </w:tc>
        <w:tc>
          <w:tcPr>
            <w:tcW w:w="570" w:type="pct"/>
            <w:vAlign w:val="center"/>
          </w:tcPr>
          <w:p w14:paraId="7D3CC0BA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7038B0" w:rsidRPr="00870EC5" w14:paraId="7DC5734B" w14:textId="1EBA889F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E7E6E6" w:themeFill="background2"/>
            <w:vAlign w:val="center"/>
            <w:hideMark/>
          </w:tcPr>
          <w:p w14:paraId="6372BCDE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 xml:space="preserve">Peripheral </w:t>
            </w:r>
            <w:r>
              <w:rPr>
                <w:rFonts w:ascii="Cambria" w:hAnsi="Cambria" w:cstheme="minorHAnsi"/>
                <w:b w:val="0"/>
                <w:sz w:val="20"/>
                <w:szCs w:val="20"/>
              </w:rPr>
              <w:t>o</w:t>
            </w: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edema</w:t>
            </w:r>
          </w:p>
        </w:tc>
        <w:tc>
          <w:tcPr>
            <w:tcW w:w="1124" w:type="pct"/>
            <w:shd w:val="clear" w:color="auto" w:fill="E7E6E6" w:themeFill="background2"/>
            <w:vAlign w:val="center"/>
          </w:tcPr>
          <w:p w14:paraId="43C48F5A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65C77090" w14:textId="23DFBCFE" w:rsidR="001F30B1" w:rsidRPr="00870EC5" w:rsidRDefault="008B2EA3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5.2</w:t>
            </w:r>
          </w:p>
        </w:tc>
        <w:tc>
          <w:tcPr>
            <w:tcW w:w="1176" w:type="pct"/>
            <w:shd w:val="clear" w:color="auto" w:fill="E7E6E6" w:themeFill="background2"/>
            <w:vAlign w:val="center"/>
          </w:tcPr>
          <w:p w14:paraId="6140F439" w14:textId="5650688B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751808B6" w14:textId="18858143" w:rsidR="001F30B1" w:rsidRPr="00870EC5" w:rsidRDefault="008B2EA3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5.5</w:t>
            </w:r>
          </w:p>
        </w:tc>
      </w:tr>
      <w:tr w:rsidR="007038B0" w:rsidRPr="00870EC5" w14:paraId="12705CDE" w14:textId="36131CDD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E7E6E6" w:themeFill="background2"/>
            <w:vAlign w:val="center"/>
            <w:hideMark/>
          </w:tcPr>
          <w:p w14:paraId="1AE4ECB3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No/</w:t>
            </w:r>
            <w:r>
              <w:rPr>
                <w:rFonts w:ascii="Cambria" w:hAnsi="Cambria" w:cstheme="minorHAnsi"/>
                <w:b w:val="0"/>
                <w:sz w:val="20"/>
                <w:szCs w:val="20"/>
              </w:rPr>
              <w:t>m</w:t>
            </w: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ild</w:t>
            </w:r>
          </w:p>
        </w:tc>
        <w:tc>
          <w:tcPr>
            <w:tcW w:w="1124" w:type="pct"/>
            <w:shd w:val="clear" w:color="auto" w:fill="E7E6E6" w:themeFill="background2"/>
            <w:vAlign w:val="center"/>
            <w:hideMark/>
          </w:tcPr>
          <w:p w14:paraId="5B594A98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23618 (46.1%)</w:t>
            </w: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4ECA1AD1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E7E6E6" w:themeFill="background2"/>
            <w:vAlign w:val="center"/>
          </w:tcPr>
          <w:p w14:paraId="1DF6AD5A" w14:textId="2F363CE0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18781 (45.2%)</w:t>
            </w: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16470FBF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7038B0" w:rsidRPr="00870EC5" w14:paraId="4EEDE19D" w14:textId="3F33D479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E7E6E6" w:themeFill="background2"/>
            <w:vAlign w:val="center"/>
            <w:hideMark/>
          </w:tcPr>
          <w:p w14:paraId="7BA77C53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Moderate/</w:t>
            </w:r>
            <w:r>
              <w:rPr>
                <w:rFonts w:ascii="Cambria" w:hAnsi="Cambria" w:cstheme="minorHAnsi"/>
                <w:b w:val="0"/>
                <w:sz w:val="20"/>
                <w:szCs w:val="20"/>
              </w:rPr>
              <w:t>s</w:t>
            </w: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evere</w:t>
            </w:r>
          </w:p>
        </w:tc>
        <w:tc>
          <w:tcPr>
            <w:tcW w:w="1124" w:type="pct"/>
            <w:shd w:val="clear" w:color="auto" w:fill="E7E6E6" w:themeFill="background2"/>
            <w:vAlign w:val="center"/>
            <w:hideMark/>
          </w:tcPr>
          <w:p w14:paraId="63596786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27662 (53.9%)</w:t>
            </w: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0027BD80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E7E6E6" w:themeFill="background2"/>
            <w:vAlign w:val="center"/>
          </w:tcPr>
          <w:p w14:paraId="36574197" w14:textId="3A739BAB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22760 (54.8%)</w:t>
            </w:r>
          </w:p>
        </w:tc>
        <w:tc>
          <w:tcPr>
            <w:tcW w:w="570" w:type="pct"/>
            <w:shd w:val="clear" w:color="auto" w:fill="E7E6E6" w:themeFill="background2"/>
            <w:vAlign w:val="center"/>
          </w:tcPr>
          <w:p w14:paraId="426B07BD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1F30B1" w:rsidRPr="00870EC5" w14:paraId="0282D1EF" w14:textId="1F14B913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  <w:hideMark/>
          </w:tcPr>
          <w:p w14:paraId="16F518A2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 xml:space="preserve">Atrial </w:t>
            </w:r>
            <w:r>
              <w:rPr>
                <w:rFonts w:ascii="Cambria" w:hAnsi="Cambria" w:cstheme="minorHAnsi"/>
                <w:b w:val="0"/>
                <w:sz w:val="20"/>
                <w:szCs w:val="20"/>
              </w:rPr>
              <w:t>f</w:t>
            </w: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ibrillation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53BEB519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29E3AAC1" w14:textId="7B0FE969" w:rsidR="001F30B1" w:rsidRPr="00870EC5" w:rsidRDefault="008B2EA3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5.8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10FE2C9" w14:textId="0F9D8AD4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790CD874" w14:textId="18FA5E29" w:rsidR="001F30B1" w:rsidRPr="00870EC5" w:rsidRDefault="008B2EA3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6.1</w:t>
            </w:r>
          </w:p>
        </w:tc>
      </w:tr>
      <w:tr w:rsidR="001F30B1" w:rsidRPr="00870EC5" w14:paraId="0B0E3375" w14:textId="7CD8D013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shd w:val="clear" w:color="auto" w:fill="auto"/>
            <w:vAlign w:val="center"/>
            <w:hideMark/>
          </w:tcPr>
          <w:p w14:paraId="6FBC73C5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Yes</w:t>
            </w:r>
          </w:p>
        </w:tc>
        <w:tc>
          <w:tcPr>
            <w:tcW w:w="1124" w:type="pct"/>
            <w:shd w:val="clear" w:color="auto" w:fill="auto"/>
            <w:vAlign w:val="center"/>
            <w:hideMark/>
          </w:tcPr>
          <w:p w14:paraId="2BB24461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23122 (45.4%)</w:t>
            </w:r>
          </w:p>
        </w:tc>
        <w:tc>
          <w:tcPr>
            <w:tcW w:w="570" w:type="pct"/>
            <w:vAlign w:val="center"/>
          </w:tcPr>
          <w:p w14:paraId="7870D14B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auto"/>
            <w:vAlign w:val="center"/>
          </w:tcPr>
          <w:p w14:paraId="2C1F6918" w14:textId="1E1A77C0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18969 (46.0%)</w:t>
            </w:r>
          </w:p>
        </w:tc>
        <w:tc>
          <w:tcPr>
            <w:tcW w:w="570" w:type="pct"/>
            <w:vAlign w:val="center"/>
          </w:tcPr>
          <w:p w14:paraId="24B36583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1F30B1" w:rsidRPr="00870EC5" w14:paraId="49BB0BE6" w14:textId="114A08C4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8B425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No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3C277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27808 (54.6%)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F5E24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81A5B" w14:textId="1B1A3491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22309 (54.0%)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F0731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7038B0" w:rsidRPr="00870EC5" w14:paraId="4C3F8DCF" w14:textId="6D03C148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C4642D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bookmarkStart w:id="0" w:name="OLE_LINK23"/>
            <w:bookmarkStart w:id="1" w:name="OLE_LINK24"/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Echocardiogram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443E239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96E0700" w14:textId="72B9FD58" w:rsidR="001F30B1" w:rsidRPr="00870EC5" w:rsidRDefault="008B2EA3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0.6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C36B1A" w14:textId="00AB5F2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41AE93B" w14:textId="579ABF08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E57C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8B2E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038B0" w:rsidRPr="00870EC5" w14:paraId="62C9E699" w14:textId="577262DC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D301AE3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LV systolic dysfunction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9844463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26918 (50.1%)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1AB80A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776B93" w14:textId="1D0F6ECF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21725 (49.8%)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A477760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7038B0" w:rsidRPr="00870EC5" w14:paraId="015F1A07" w14:textId="02BB7578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6A0574B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>
              <w:rPr>
                <w:rFonts w:ascii="Cambria" w:hAnsi="Cambria" w:cstheme="minorHAnsi"/>
                <w:b w:val="0"/>
                <w:sz w:val="20"/>
                <w:szCs w:val="20"/>
              </w:rPr>
              <w:t>Valve disease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041BEAD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7784 (14.5%)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E32201D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485FBA7" w14:textId="4013445B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6927 (15.9%)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963D08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7038B0" w:rsidRPr="00870EC5" w14:paraId="6C9EED7F" w14:textId="5AB03DD7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8762608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>
              <w:rPr>
                <w:rFonts w:ascii="Cambria" w:hAnsi="Cambria" w:cstheme="minorHAnsi"/>
                <w:b w:val="0"/>
                <w:sz w:val="20"/>
                <w:szCs w:val="20"/>
              </w:rPr>
              <w:t>O</w:t>
            </w: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thers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9DD02F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7614 (14.2%)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55417F4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B4C978" w14:textId="2406D633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6511 (14.9%)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6413B18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7038B0" w:rsidRPr="00870EC5" w14:paraId="06330358" w14:textId="7F84E753" w:rsidTr="0070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0A035F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>
              <w:rPr>
                <w:rFonts w:ascii="Cambria" w:hAnsi="Cambria" w:cstheme="minorHAnsi"/>
                <w:b w:val="0"/>
                <w:sz w:val="20"/>
                <w:szCs w:val="20"/>
              </w:rPr>
              <w:t>N</w:t>
            </w: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o abnormality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3300C16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2238 (4.2%)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FE51D0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E29F315" w14:textId="7627B2AB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1790 (4.1%)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AB52AA" w14:textId="77777777" w:rsidR="001F30B1" w:rsidRPr="00870EC5" w:rsidRDefault="001F30B1" w:rsidP="00703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7038B0" w:rsidRPr="00870EC5" w14:paraId="50205B3B" w14:textId="4F8F12CE" w:rsidTr="007038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6E13FEDD" w14:textId="77777777" w:rsidR="001F30B1" w:rsidRPr="00870EC5" w:rsidRDefault="001F30B1" w:rsidP="007038B0">
            <w:pPr>
              <w:rPr>
                <w:rFonts w:ascii="Cambria" w:hAnsi="Cambria" w:cstheme="minorHAnsi"/>
                <w:b w:val="0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b w:val="0"/>
                <w:sz w:val="20"/>
                <w:szCs w:val="20"/>
              </w:rPr>
              <w:t>No echo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0255175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9215 (17.1%)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3CD6C0F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EC98BAA" w14:textId="169596F8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  <w:r w:rsidRPr="00870EC5">
              <w:rPr>
                <w:rFonts w:ascii="Cambria" w:hAnsi="Cambria" w:cstheme="minorHAnsi"/>
                <w:sz w:val="20"/>
                <w:szCs w:val="20"/>
              </w:rPr>
              <w:t>6681 (15.3%)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3ED15AE1" w14:textId="77777777" w:rsidR="001F30B1" w:rsidRPr="00870EC5" w:rsidRDefault="001F30B1" w:rsidP="00703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</w:tbl>
    <w:bookmarkEnd w:id="0"/>
    <w:bookmarkEnd w:id="1"/>
    <w:p w14:paraId="0458B629" w14:textId="36BFE5B4" w:rsidR="00482DC8" w:rsidRDefault="00870EC5">
      <w:r>
        <w:t>Table 1. Baseline characteristics of the patients in the derivation (</w:t>
      </w:r>
      <w:r w:rsidRPr="00870EC5">
        <w:t>1st April 2017 and 31st March 2018</w:t>
      </w:r>
      <w:r>
        <w:t>) and validation (</w:t>
      </w:r>
      <w:r w:rsidRPr="00870EC5">
        <w:t>1st April 2018 and 31st March 2019</w:t>
      </w:r>
      <w:r>
        <w:t>) cohorts of patients.</w:t>
      </w:r>
      <w:r w:rsidR="009F29B0">
        <w:t xml:space="preserve"> SBP is systolic blood </w:t>
      </w:r>
      <w:r w:rsidR="009F29B0">
        <w:lastRenderedPageBreak/>
        <w:t xml:space="preserve">pressure; </w:t>
      </w:r>
      <w:r w:rsidR="00936C61">
        <w:t xml:space="preserve">COPD is chronic obstructive airways disease; </w:t>
      </w:r>
      <w:r w:rsidR="009F29B0">
        <w:t>NYHA is New York Heart Association class of symptoms</w:t>
      </w:r>
      <w:r w:rsidR="00482DC8">
        <w:t>.</w:t>
      </w:r>
    </w:p>
    <w:sectPr w:rsidR="00482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EC5"/>
    <w:rsid w:val="00052692"/>
    <w:rsid w:val="00145892"/>
    <w:rsid w:val="0017056F"/>
    <w:rsid w:val="0018788C"/>
    <w:rsid w:val="001F30B1"/>
    <w:rsid w:val="00356C6D"/>
    <w:rsid w:val="00414339"/>
    <w:rsid w:val="00430BA4"/>
    <w:rsid w:val="00482DC8"/>
    <w:rsid w:val="0051764C"/>
    <w:rsid w:val="00665B45"/>
    <w:rsid w:val="007038B0"/>
    <w:rsid w:val="00730C4A"/>
    <w:rsid w:val="00793D1A"/>
    <w:rsid w:val="00870EC5"/>
    <w:rsid w:val="008B2EA3"/>
    <w:rsid w:val="00936C61"/>
    <w:rsid w:val="00965570"/>
    <w:rsid w:val="0097670B"/>
    <w:rsid w:val="009D54C2"/>
    <w:rsid w:val="009D7481"/>
    <w:rsid w:val="009F29B0"/>
    <w:rsid w:val="00A1646C"/>
    <w:rsid w:val="00AB22D3"/>
    <w:rsid w:val="00AF403B"/>
    <w:rsid w:val="00B67387"/>
    <w:rsid w:val="00B8538E"/>
    <w:rsid w:val="00BB0823"/>
    <w:rsid w:val="00D43D2E"/>
    <w:rsid w:val="00EF514A"/>
    <w:rsid w:val="00F34FD9"/>
    <w:rsid w:val="00FA62E7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83BE"/>
  <w15:chartTrackingRefBased/>
  <w15:docId w15:val="{CA2D3CC5-6EAC-413C-8EA7-EE0C7630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70E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482D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2DC8"/>
    <w:rPr>
      <w:sz w:val="20"/>
      <w:szCs w:val="20"/>
    </w:rPr>
  </w:style>
  <w:style w:type="table" w:styleId="TableGrid">
    <w:name w:val="Table Grid"/>
    <w:basedOn w:val="TableNormal"/>
    <w:uiPriority w:val="39"/>
    <w:rsid w:val="00482DC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4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5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73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73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73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38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458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faf88fe-a998-4c5b-93c9-210a11d9a5c2}" enabled="0" method="" siteId="{1faf88fe-a998-4c5b-93c9-210a11d9a5c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 Clark</dc:creator>
  <cp:keywords/>
  <dc:description/>
  <cp:lastModifiedBy>Omar, Rumana</cp:lastModifiedBy>
  <cp:revision>2</cp:revision>
  <dcterms:created xsi:type="dcterms:W3CDTF">2025-03-14T12:16:00Z</dcterms:created>
  <dcterms:modified xsi:type="dcterms:W3CDTF">2025-03-14T12:16:00Z</dcterms:modified>
</cp:coreProperties>
</file>