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778132E" w:rsidP="66124FEE" w:rsidRDefault="7778132E" w14:paraId="751249C3" w14:textId="5A69C7D9">
      <w:pPr>
        <w:pStyle w:val="Normal"/>
        <w:spacing w:line="480" w:lineRule="auto"/>
        <w:rPr>
          <w:rFonts w:ascii="Times New Roman" w:hAnsi="Times New Roman" w:eastAsia="Times New Roman" w:cs="Times New Roman"/>
          <w:sz w:val="24"/>
          <w:szCs w:val="24"/>
        </w:rPr>
      </w:pPr>
      <w:r w:rsidRPr="66124FEE" w:rsidR="7778132E">
        <w:rPr>
          <w:rFonts w:ascii="Times New Roman" w:hAnsi="Times New Roman" w:eastAsia="Times New Roman" w:cs="Times New Roman"/>
          <w:sz w:val="24"/>
          <w:szCs w:val="24"/>
        </w:rPr>
        <w:t>Ashley Riek</w:t>
      </w:r>
    </w:p>
    <w:p w:rsidR="7778132E" w:rsidP="66124FEE" w:rsidRDefault="7778132E" w14:paraId="4F60C688" w14:textId="4B12BC19">
      <w:pPr>
        <w:pStyle w:val="Normal"/>
        <w:spacing w:line="480" w:lineRule="auto"/>
        <w:rPr>
          <w:rFonts w:ascii="Times New Roman" w:hAnsi="Times New Roman" w:eastAsia="Times New Roman" w:cs="Times New Roman"/>
          <w:sz w:val="24"/>
          <w:szCs w:val="24"/>
        </w:rPr>
      </w:pPr>
      <w:r w:rsidRPr="66124FEE" w:rsidR="7778132E">
        <w:rPr>
          <w:rFonts w:ascii="Times New Roman" w:hAnsi="Times New Roman" w:eastAsia="Times New Roman" w:cs="Times New Roman"/>
          <w:sz w:val="24"/>
          <w:szCs w:val="24"/>
        </w:rPr>
        <w:t>02/07/2026</w:t>
      </w:r>
    </w:p>
    <w:p w:rsidR="7778132E" w:rsidP="66124FEE" w:rsidRDefault="7778132E" w14:paraId="61DDFBC1" w14:textId="592314C6">
      <w:pPr>
        <w:pStyle w:val="Normal"/>
        <w:spacing w:line="480" w:lineRule="auto"/>
        <w:rPr>
          <w:rFonts w:ascii="Times New Roman" w:hAnsi="Times New Roman" w:eastAsia="Times New Roman" w:cs="Times New Roman"/>
          <w:sz w:val="24"/>
          <w:szCs w:val="24"/>
        </w:rPr>
      </w:pPr>
      <w:r w:rsidRPr="66124FEE" w:rsidR="7778132E">
        <w:rPr>
          <w:rFonts w:ascii="Times New Roman" w:hAnsi="Times New Roman" w:eastAsia="Times New Roman" w:cs="Times New Roman"/>
          <w:sz w:val="24"/>
          <w:szCs w:val="24"/>
        </w:rPr>
        <w:t>CS-499 Module 5 Milestone 4</w:t>
      </w:r>
    </w:p>
    <w:p xmlns:wp14="http://schemas.microsoft.com/office/word/2010/wordml" w:rsidP="66124FEE" w14:paraId="65E35B31" wp14:textId="10B82333">
      <w:pPr>
        <w:pStyle w:val="Normal"/>
        <w:spacing w:line="480" w:lineRule="auto"/>
        <w:jc w:val="center"/>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Enhancement Three – Databases</w:t>
      </w:r>
    </w:p>
    <w:p xmlns:wp14="http://schemas.microsoft.com/office/word/2010/wordml" w:rsidP="66124FEE" w14:paraId="2A579AB5"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1. Artifact Description and Origin</w:t>
      </w:r>
    </w:p>
    <w:p xmlns:wp14="http://schemas.microsoft.com/office/word/2010/wordml" w:rsidP="66124FEE" w14:paraId="6A2A07AA"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 xml:space="preserve">The selected database artifact is the Grazioso </w:t>
      </w:r>
      <w:r w:rsidRPr="66124FEE" w:rsidR="66124FEE">
        <w:rPr>
          <w:rFonts w:ascii="Times New Roman" w:hAnsi="Times New Roman" w:eastAsia="Times New Roman" w:cs="Times New Roman"/>
          <w:sz w:val="24"/>
          <w:szCs w:val="24"/>
        </w:rPr>
        <w:t>Salvare</w:t>
      </w:r>
      <w:r w:rsidRPr="66124FEE" w:rsidR="66124FEE">
        <w:rPr>
          <w:rFonts w:ascii="Times New Roman" w:hAnsi="Times New Roman" w:eastAsia="Times New Roman" w:cs="Times New Roman"/>
          <w:sz w:val="24"/>
          <w:szCs w:val="24"/>
        </w:rPr>
        <w:t xml:space="preserve"> Rescue Dashboard project originally created in CS-340: Client/Server Development. The project uses a MongoDB database populated with Austin Animal Center (AAC) outcomes data and a Python-based dashboard (Dash) to allow users to explore and filter animal records. This artifact was chosen because it </w:t>
      </w:r>
      <w:r w:rsidRPr="66124FEE" w:rsidR="66124FEE">
        <w:rPr>
          <w:rFonts w:ascii="Times New Roman" w:hAnsi="Times New Roman" w:eastAsia="Times New Roman" w:cs="Times New Roman"/>
          <w:sz w:val="24"/>
          <w:szCs w:val="24"/>
        </w:rPr>
        <w:t>demonstrates</w:t>
      </w:r>
      <w:r w:rsidRPr="66124FEE" w:rsidR="66124FEE">
        <w:rPr>
          <w:rFonts w:ascii="Times New Roman" w:hAnsi="Times New Roman" w:eastAsia="Times New Roman" w:cs="Times New Roman"/>
          <w:sz w:val="24"/>
          <w:szCs w:val="24"/>
        </w:rPr>
        <w:t xml:space="preserve"> database-backed application development, including data storage, retrieval, and query design that supports client requirements.</w:t>
      </w:r>
    </w:p>
    <w:p xmlns:wp14="http://schemas.microsoft.com/office/word/2010/wordml" w:rsidP="66124FEE" w14:paraId="5520C54A"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 xml:space="preserve">2. Why This Artifact Belongs in My </w:t>
      </w:r>
      <w:r w:rsidRPr="66124FEE" w:rsidR="66124FEE">
        <w:rPr>
          <w:rFonts w:ascii="Times New Roman" w:hAnsi="Times New Roman" w:eastAsia="Times New Roman" w:cs="Times New Roman"/>
          <w:sz w:val="24"/>
          <w:szCs w:val="24"/>
        </w:rPr>
        <w:t>ePortfolio</w:t>
      </w:r>
    </w:p>
    <w:p xmlns:wp14="http://schemas.microsoft.com/office/word/2010/wordml" w:rsidP="66124FEE" w14:paraId="4072840F"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 xml:space="preserve">I selected this artifact because it highlights practical database skills that translate directly to real-world systems: designing queries for specific stakeholder needs, organizing data access through a reusable data layer, and considering performance and data integrity. The </w:t>
      </w:r>
      <w:r w:rsidRPr="66124FEE" w:rsidR="66124FEE">
        <w:rPr>
          <w:rFonts w:ascii="Times New Roman" w:hAnsi="Times New Roman" w:eastAsia="Times New Roman" w:cs="Times New Roman"/>
          <w:sz w:val="24"/>
          <w:szCs w:val="24"/>
        </w:rPr>
        <w:t>dashboard’s</w:t>
      </w:r>
      <w:r w:rsidRPr="66124FEE" w:rsidR="66124FEE">
        <w:rPr>
          <w:rFonts w:ascii="Times New Roman" w:hAnsi="Times New Roman" w:eastAsia="Times New Roman" w:cs="Times New Roman"/>
          <w:sz w:val="24"/>
          <w:szCs w:val="24"/>
        </w:rPr>
        <w:t xml:space="preserve"> rescue filters and interactive data display show how database decisions enable faster, data-driven decisions for users.</w:t>
      </w:r>
    </w:p>
    <w:p xmlns:wp14="http://schemas.microsoft.com/office/word/2010/wordml" w:rsidP="66124FEE" w14:paraId="3E381172"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3. Enhancements Implemented</w:t>
      </w:r>
    </w:p>
    <w:p xmlns:wp14="http://schemas.microsoft.com/office/word/2010/wordml" w:rsidP="66124FEE" w14:paraId="6EDFD645"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To align with the Databases category and my Module One enhancement plan, I implemented the following improvements:</w:t>
      </w:r>
    </w:p>
    <w:p xmlns:wp14="http://schemas.microsoft.com/office/word/2010/wordml" w:rsidP="66124FEE" w14:paraId="7EFE9F5D"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Connection and configuration improvement: updated the CRUD module to support local MongoDB via a URI (defaults to mongodb://localhost:27017) with optional environment-variable configuration. This removes reliance on course-lab host settings and improves portability.</w:t>
      </w:r>
    </w:p>
    <w:p xmlns:wp14="http://schemas.microsoft.com/office/word/2010/wordml" w:rsidP="66124FEE" w14:paraId="03D9FB20"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Data integrity improvement: added lightweight input validation and string-cleaning for create/update operations to reduce inconsistent or malformed data.</w:t>
      </w:r>
    </w:p>
    <w:p xmlns:wp14="http://schemas.microsoft.com/office/word/2010/wordml" w:rsidP="66124FEE" w14:paraId="4EBC417A"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 xml:space="preserve">Query performance improvement: added an index-creation method that builds single-field and compound indexes for the dashboard’s common filters (breed, </w:t>
      </w:r>
      <w:r w:rsidRPr="66124FEE" w:rsidR="66124FEE">
        <w:rPr>
          <w:rFonts w:ascii="Times New Roman" w:hAnsi="Times New Roman" w:eastAsia="Times New Roman" w:cs="Times New Roman"/>
          <w:sz w:val="24"/>
          <w:szCs w:val="24"/>
        </w:rPr>
        <w:t>sex_upon_outcome</w:t>
      </w:r>
      <w:r w:rsidRPr="66124FEE" w:rsidR="66124FEE">
        <w:rPr>
          <w:rFonts w:ascii="Times New Roman" w:hAnsi="Times New Roman" w:eastAsia="Times New Roman" w:cs="Times New Roman"/>
          <w:sz w:val="24"/>
          <w:szCs w:val="24"/>
        </w:rPr>
        <w:t xml:space="preserve">, </w:t>
      </w:r>
      <w:r w:rsidRPr="66124FEE" w:rsidR="66124FEE">
        <w:rPr>
          <w:rFonts w:ascii="Times New Roman" w:hAnsi="Times New Roman" w:eastAsia="Times New Roman" w:cs="Times New Roman"/>
          <w:sz w:val="24"/>
          <w:szCs w:val="24"/>
        </w:rPr>
        <w:t>age_upon_outcome_in_weeks</w:t>
      </w:r>
      <w:r w:rsidRPr="66124FEE" w:rsidR="66124FEE">
        <w:rPr>
          <w:rFonts w:ascii="Times New Roman" w:hAnsi="Times New Roman" w:eastAsia="Times New Roman" w:cs="Times New Roman"/>
          <w:sz w:val="24"/>
          <w:szCs w:val="24"/>
        </w:rPr>
        <w:t>). This supports faster lookups as the dataset grows.</w:t>
      </w:r>
    </w:p>
    <w:p xmlns:wp14="http://schemas.microsoft.com/office/word/2010/wordml" w:rsidP="66124FEE" w14:paraId="4853B95F"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 xml:space="preserve">Maintainability improvement: kept the database access layer (CRUD + filter queries) isolated in one </w:t>
      </w:r>
      <w:r w:rsidRPr="66124FEE" w:rsidR="66124FEE">
        <w:rPr>
          <w:rFonts w:ascii="Times New Roman" w:hAnsi="Times New Roman" w:eastAsia="Times New Roman" w:cs="Times New Roman"/>
          <w:sz w:val="24"/>
          <w:szCs w:val="24"/>
        </w:rPr>
        <w:t>module</w:t>
      </w:r>
      <w:r w:rsidRPr="66124FEE" w:rsidR="66124FEE">
        <w:rPr>
          <w:rFonts w:ascii="Times New Roman" w:hAnsi="Times New Roman" w:eastAsia="Times New Roman" w:cs="Times New Roman"/>
          <w:sz w:val="24"/>
          <w:szCs w:val="24"/>
        </w:rPr>
        <w:t xml:space="preserve"> so the dashboard code </w:t>
      </w:r>
      <w:r w:rsidRPr="66124FEE" w:rsidR="66124FEE">
        <w:rPr>
          <w:rFonts w:ascii="Times New Roman" w:hAnsi="Times New Roman" w:eastAsia="Times New Roman" w:cs="Times New Roman"/>
          <w:sz w:val="24"/>
          <w:szCs w:val="24"/>
        </w:rPr>
        <w:t>remains</w:t>
      </w:r>
      <w:r w:rsidRPr="66124FEE" w:rsidR="66124FEE">
        <w:rPr>
          <w:rFonts w:ascii="Times New Roman" w:hAnsi="Times New Roman" w:eastAsia="Times New Roman" w:cs="Times New Roman"/>
          <w:sz w:val="24"/>
          <w:szCs w:val="24"/>
        </w:rPr>
        <w:t xml:space="preserve"> focused on presentation and interaction.</w:t>
      </w:r>
    </w:p>
    <w:p xmlns:wp14="http://schemas.microsoft.com/office/word/2010/wordml" w:rsidP="66124FEE" w14:paraId="27B0A8F6"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4. Outcome Coverage and Updates</w:t>
      </w:r>
    </w:p>
    <w:p xmlns:wp14="http://schemas.microsoft.com/office/word/2010/wordml" w:rsidP="66124FEE" w14:paraId="431A70CF"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 xml:space="preserve">These enhancements strengthen my progress toward the program outcomes I targeted in Module One. They </w:t>
      </w:r>
      <w:r w:rsidRPr="66124FEE" w:rsidR="66124FEE">
        <w:rPr>
          <w:rFonts w:ascii="Times New Roman" w:hAnsi="Times New Roman" w:eastAsia="Times New Roman" w:cs="Times New Roman"/>
          <w:sz w:val="24"/>
          <w:szCs w:val="24"/>
        </w:rPr>
        <w:t>demonstrate</w:t>
      </w:r>
      <w:r w:rsidRPr="66124FEE" w:rsidR="66124FEE">
        <w:rPr>
          <w:rFonts w:ascii="Times New Roman" w:hAnsi="Times New Roman" w:eastAsia="Times New Roman" w:cs="Times New Roman"/>
          <w:sz w:val="24"/>
          <w:szCs w:val="24"/>
        </w:rPr>
        <w:t xml:space="preserve"> my ability to use well-founded database techniques to deliver value (performance and integrity), to evaluate trade-offs (indexing speed vs. </w:t>
      </w:r>
      <w:r w:rsidRPr="66124FEE" w:rsidR="66124FEE">
        <w:rPr>
          <w:rFonts w:ascii="Times New Roman" w:hAnsi="Times New Roman" w:eastAsia="Times New Roman" w:cs="Times New Roman"/>
          <w:sz w:val="24"/>
          <w:szCs w:val="24"/>
        </w:rPr>
        <w:t>additional</w:t>
      </w:r>
      <w:r w:rsidRPr="66124FEE" w:rsidR="66124FEE">
        <w:rPr>
          <w:rFonts w:ascii="Times New Roman" w:hAnsi="Times New Roman" w:eastAsia="Times New Roman" w:cs="Times New Roman"/>
          <w:sz w:val="24"/>
          <w:szCs w:val="24"/>
        </w:rPr>
        <w:t xml:space="preserve"> storage and write overhead), and to communicate technical decisions through clear module structure and documentation. My outcome-coverage plans </w:t>
      </w:r>
      <w:r w:rsidRPr="66124FEE" w:rsidR="66124FEE">
        <w:rPr>
          <w:rFonts w:ascii="Times New Roman" w:hAnsi="Times New Roman" w:eastAsia="Times New Roman" w:cs="Times New Roman"/>
          <w:sz w:val="24"/>
          <w:szCs w:val="24"/>
        </w:rPr>
        <w:t>remain</w:t>
      </w:r>
      <w:r w:rsidRPr="66124FEE" w:rsidR="66124FEE">
        <w:rPr>
          <w:rFonts w:ascii="Times New Roman" w:hAnsi="Times New Roman" w:eastAsia="Times New Roman" w:cs="Times New Roman"/>
          <w:sz w:val="24"/>
          <w:szCs w:val="24"/>
        </w:rPr>
        <w:t xml:space="preserve"> the same, but my implementation now places greater emphasis on portability and professional configuration practices.</w:t>
      </w:r>
    </w:p>
    <w:p xmlns:wp14="http://schemas.microsoft.com/office/word/2010/wordml" w:rsidP="66124FEE" w14:paraId="334E97F5" wp14:textId="77777777">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5. Reflection</w:t>
      </w:r>
    </w:p>
    <w:p xmlns:wp14="http://schemas.microsoft.com/office/word/2010/wordml" w:rsidP="66124FEE" w14:paraId="677C9E82" wp14:textId="1EE2999C">
      <w:pPr>
        <w:pStyle w:val="Normal"/>
        <w:spacing w:line="480" w:lineRule="auto"/>
        <w:rPr>
          <w:rFonts w:ascii="Times New Roman" w:hAnsi="Times New Roman" w:eastAsia="Times New Roman" w:cs="Times New Roman"/>
          <w:sz w:val="24"/>
          <w:szCs w:val="24"/>
        </w:rPr>
      </w:pPr>
      <w:r w:rsidRPr="66124FEE" w:rsidR="66124FEE">
        <w:rPr>
          <w:rFonts w:ascii="Times New Roman" w:hAnsi="Times New Roman" w:eastAsia="Times New Roman" w:cs="Times New Roman"/>
          <w:sz w:val="24"/>
          <w:szCs w:val="24"/>
        </w:rPr>
        <w:t xml:space="preserve">While enhancing this artifact, the most important learning was how strongly database design decisions affect </w:t>
      </w:r>
      <w:r w:rsidRPr="66124FEE" w:rsidR="66124FEE">
        <w:rPr>
          <w:rFonts w:ascii="Times New Roman" w:hAnsi="Times New Roman" w:eastAsia="Times New Roman" w:cs="Times New Roman"/>
          <w:sz w:val="24"/>
          <w:szCs w:val="24"/>
        </w:rPr>
        <w:t>the user</w:t>
      </w:r>
      <w:r w:rsidRPr="66124FEE" w:rsidR="66124FEE">
        <w:rPr>
          <w:rFonts w:ascii="Times New Roman" w:hAnsi="Times New Roman" w:eastAsia="Times New Roman" w:cs="Times New Roman"/>
          <w:sz w:val="24"/>
          <w:szCs w:val="24"/>
        </w:rPr>
        <w:t xml:space="preserve"> experience in data-driven applications. A dashboard can look correct but still feel slow or unreliable if the underlying queries are not supported by </w:t>
      </w:r>
      <w:r w:rsidRPr="66124FEE" w:rsidR="66124FEE">
        <w:rPr>
          <w:rFonts w:ascii="Times New Roman" w:hAnsi="Times New Roman" w:eastAsia="Times New Roman" w:cs="Times New Roman"/>
          <w:sz w:val="24"/>
          <w:szCs w:val="24"/>
        </w:rPr>
        <w:t>appropriate indexes</w:t>
      </w:r>
      <w:r w:rsidRPr="66124FEE" w:rsidR="66124FEE">
        <w:rPr>
          <w:rFonts w:ascii="Times New Roman" w:hAnsi="Times New Roman" w:eastAsia="Times New Roman" w:cs="Times New Roman"/>
          <w:sz w:val="24"/>
          <w:szCs w:val="24"/>
        </w:rPr>
        <w:t xml:space="preserve"> or if the data entering the system is inconsistent. Adding indexes reinforced the trade-off between read performance and the cost of </w:t>
      </w:r>
      <w:r w:rsidRPr="66124FEE" w:rsidR="66124FEE">
        <w:rPr>
          <w:rFonts w:ascii="Times New Roman" w:hAnsi="Times New Roman" w:eastAsia="Times New Roman" w:cs="Times New Roman"/>
          <w:sz w:val="24"/>
          <w:szCs w:val="24"/>
        </w:rPr>
        <w:t>maintaining</w:t>
      </w:r>
      <w:r w:rsidRPr="66124FEE" w:rsidR="66124FEE">
        <w:rPr>
          <w:rFonts w:ascii="Times New Roman" w:hAnsi="Times New Roman" w:eastAsia="Times New Roman" w:cs="Times New Roman"/>
          <w:sz w:val="24"/>
          <w:szCs w:val="24"/>
        </w:rPr>
        <w:t xml:space="preserve"> indexes during writes, and it helped me think more strategically about how the database will behave as the dataset scales.</w:t>
      </w:r>
      <w:r>
        <w:br/>
      </w:r>
      <w:r w:rsidRPr="66124FEE" w:rsidR="66124FEE">
        <w:rPr>
          <w:rFonts w:ascii="Times New Roman" w:hAnsi="Times New Roman" w:eastAsia="Times New Roman" w:cs="Times New Roman"/>
          <w:sz w:val="24"/>
          <w:szCs w:val="24"/>
        </w:rPr>
        <w:t>Another key takeaway was the value of making database access portable and maintainable. By refactoring the CRUD module to support URI-based configuration and local defaults, the same project can run in multiple environments without rewriting code or embedding sensitive configuration directly into the source. The primary challenge was ensuring that improvements to configuration and validation did not break existing dashboard functionality. I addressed this by keeping method signatures stable and updating the dashboard to use the enhanced module while preserving the original query logic.</w:t>
      </w:r>
      <w:r>
        <w:br/>
      </w:r>
      <w:r w:rsidRPr="66124FEE" w:rsidR="66124FEE">
        <w:rPr>
          <w:rFonts w:ascii="Times New Roman" w:hAnsi="Times New Roman" w:eastAsia="Times New Roman" w:cs="Times New Roman"/>
          <w:sz w:val="24"/>
          <w:szCs w:val="24"/>
        </w:rPr>
        <w:t>Overall, this enhancement helped me move beyond simply “connecting to a database” toward implementing database-aware engineering practices: performance planning, integrity safeguards, and clean separation between data access and the client-facing application.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9BAFD3"/>
    <w:rsid w:val="66124FEE"/>
    <w:rsid w:val="6ECD34BC"/>
    <w:rsid w:val="74205915"/>
    <w:rsid w:val="77781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F6CBAFA-9421-4558-BC94-2791EBE1CD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Riek, Ashley</lastModifiedBy>
  <revision>2</revision>
  <dcterms:created xsi:type="dcterms:W3CDTF">2013-12-23T23:15:00.0000000Z</dcterms:created>
  <dcterms:modified xsi:type="dcterms:W3CDTF">2026-02-08T00:51:21.1892164Z</dcterms:modified>
  <category/>
</coreProperties>
</file>