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 w:cs="宋体"/>
          <w:b/>
          <w:bCs/>
          <w:sz w:val="32"/>
        </w:rPr>
      </w:pPr>
    </w:p>
    <w:p>
      <w:pPr>
        <w:spacing w:line="380" w:lineRule="atLeast"/>
        <w:jc w:val="center"/>
        <w:rPr>
          <w:rFonts w:ascii="宋体" w:hAnsi="宋体" w:cs="宋体"/>
          <w:color w:val="000000"/>
          <w:sz w:val="72"/>
        </w:rPr>
      </w:pPr>
    </w:p>
    <w:p>
      <w:pPr>
        <w:spacing w:line="380" w:lineRule="atLeast"/>
        <w:jc w:val="center"/>
        <w:rPr>
          <w:rFonts w:ascii="宋体" w:hAnsi="宋体" w:cs="宋体"/>
          <w:color w:val="000000"/>
          <w:sz w:val="72"/>
        </w:rPr>
      </w:pPr>
    </w:p>
    <w:p>
      <w:pPr>
        <w:spacing w:line="360" w:lineRule="auto"/>
        <w:jc w:val="center"/>
        <w:rPr>
          <w:rFonts w:ascii="宋体" w:hAnsi="宋体" w:cs="宋体"/>
          <w:color w:val="000000"/>
          <w:sz w:val="72"/>
        </w:rPr>
      </w:pPr>
      <w:r>
        <w:rPr>
          <w:rFonts w:hint="eastAsia" w:ascii="宋体" w:hAnsi="宋体" w:cs="宋体"/>
          <w:color w:val="000000"/>
          <w:sz w:val="72"/>
        </w:rPr>
        <w:t>智慧停车_V2.1</w:t>
      </w:r>
    </w:p>
    <w:p>
      <w:pPr>
        <w:spacing w:line="360" w:lineRule="auto"/>
        <w:jc w:val="center"/>
        <w:rPr>
          <w:rFonts w:ascii="宋体" w:hAnsi="宋体" w:cs="宋体"/>
          <w:color w:val="000000"/>
          <w:sz w:val="72"/>
        </w:rPr>
      </w:pPr>
      <w:r>
        <w:rPr>
          <w:rFonts w:hint="eastAsia" w:ascii="宋体" w:hAnsi="宋体" w:cs="宋体"/>
          <w:color w:val="000000"/>
          <w:sz w:val="72"/>
        </w:rPr>
        <w:t>产品PRD说明书</w:t>
      </w:r>
    </w:p>
    <w:p>
      <w:pPr>
        <w:rPr>
          <w:rFonts w:ascii="宋体" w:hAnsi="宋体" w:cs="宋体"/>
          <w:color w:val="000000"/>
        </w:rPr>
      </w:pPr>
    </w:p>
    <w:p>
      <w:pPr>
        <w:spacing w:line="380" w:lineRule="atLeast"/>
        <w:rPr>
          <w:rFonts w:ascii="宋体" w:hAnsi="宋体" w:cs="宋体"/>
          <w:color w:val="000000"/>
          <w:sz w:val="32"/>
        </w:rPr>
      </w:pPr>
    </w:p>
    <w:p>
      <w:pPr>
        <w:spacing w:line="380" w:lineRule="atLeast"/>
        <w:rPr>
          <w:rFonts w:ascii="宋体" w:hAnsi="宋体" w:cs="宋体"/>
          <w:sz w:val="28"/>
          <w:szCs w:val="28"/>
        </w:rPr>
      </w:pPr>
    </w:p>
    <w:p>
      <w:pPr>
        <w:spacing w:line="380" w:lineRule="atLeast"/>
        <w:rPr>
          <w:rFonts w:ascii="宋体" w:hAnsi="宋体" w:cs="宋体"/>
          <w:color w:val="000000"/>
          <w:sz w:val="28"/>
          <w:szCs w:val="28"/>
        </w:rPr>
      </w:pPr>
    </w:p>
    <w:p>
      <w:pPr>
        <w:spacing w:line="380" w:lineRule="atLeast"/>
        <w:rPr>
          <w:rFonts w:ascii="宋体" w:hAnsi="宋体" w:cs="宋体"/>
          <w:color w:val="000000"/>
        </w:rPr>
      </w:pPr>
    </w:p>
    <w:p>
      <w:pPr>
        <w:spacing w:line="380" w:lineRule="atLeast"/>
        <w:rPr>
          <w:rFonts w:ascii="宋体" w:hAnsi="宋体" w:cs="宋体"/>
          <w:color w:val="000000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  <w:bookmarkStart w:id="31" w:name="_GoBack"/>
      <w:bookmarkEnd w:id="31"/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8"/>
          <w:szCs w:val="28"/>
        </w:rPr>
      </w:pPr>
    </w:p>
    <w:p>
      <w:pPr>
        <w:rPr>
          <w:rFonts w:ascii="宋体" w:hAnsi="宋体" w:cs="宋体"/>
          <w:color w:val="000000"/>
          <w:sz w:val="24"/>
        </w:rPr>
      </w:pPr>
    </w:p>
    <w:p>
      <w:pPr>
        <w:pStyle w:val="14"/>
        <w:ind w:left="0"/>
        <w:jc w:val="center"/>
        <w:rPr>
          <w:rFonts w:ascii="宋体" w:hAnsi="宋体" w:cs="宋体"/>
          <w:b/>
          <w:bCs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</w:rPr>
        <w:t>版 本 记 录</w:t>
      </w:r>
    </w:p>
    <w:p>
      <w:pPr>
        <w:rPr>
          <w:rFonts w:ascii="宋体" w:hAnsi="宋体" w:cs="宋体"/>
        </w:rPr>
      </w:pPr>
    </w:p>
    <w:tbl>
      <w:tblPr>
        <w:tblStyle w:val="25"/>
        <w:tblW w:w="9315" w:type="dxa"/>
        <w:tblInd w:w="-4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1856"/>
        <w:gridCol w:w="2040"/>
        <w:gridCol w:w="2632"/>
        <w:gridCol w:w="1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4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版本号</w:t>
            </w:r>
          </w:p>
        </w:tc>
        <w:tc>
          <w:tcPr>
            <w:tcW w:w="1856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拟制/修改日期</w:t>
            </w:r>
          </w:p>
        </w:tc>
        <w:tc>
          <w:tcPr>
            <w:tcW w:w="2040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拟制/修改人</w:t>
            </w:r>
          </w:p>
        </w:tc>
        <w:tc>
          <w:tcPr>
            <w:tcW w:w="2632" w:type="dxa"/>
            <w:vAlign w:val="center"/>
          </w:tcPr>
          <w:p>
            <w:pPr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修改记录</w:t>
            </w:r>
          </w:p>
        </w:tc>
        <w:tc>
          <w:tcPr>
            <w:tcW w:w="1845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99" w:hRule="atLeast"/>
        </w:trPr>
        <w:tc>
          <w:tcPr>
            <w:tcW w:w="94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0.1</w:t>
            </w:r>
          </w:p>
        </w:tc>
        <w:tc>
          <w:tcPr>
            <w:tcW w:w="1856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2018-12-18</w:t>
            </w:r>
          </w:p>
        </w:tc>
        <w:tc>
          <w:tcPr>
            <w:tcW w:w="2040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王欢</w:t>
            </w:r>
          </w:p>
        </w:tc>
        <w:tc>
          <w:tcPr>
            <w:tcW w:w="263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编写</w:t>
            </w:r>
          </w:p>
        </w:tc>
        <w:tc>
          <w:tcPr>
            <w:tcW w:w="1845" w:type="dxa"/>
            <w:vAlign w:val="center"/>
          </w:tcPr>
          <w:p>
            <w:pPr>
              <w:rPr>
                <w:rFonts w:ascii="宋体" w:hAnsi="宋体" w:cs="宋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08" w:hRule="atLeast"/>
        </w:trPr>
        <w:tc>
          <w:tcPr>
            <w:tcW w:w="94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1856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2040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263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1845" w:type="dxa"/>
            <w:vAlign w:val="center"/>
          </w:tcPr>
          <w:p>
            <w:pPr>
              <w:rPr>
                <w:rFonts w:ascii="宋体" w:hAnsi="宋体" w:cs="宋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08" w:hRule="atLeast"/>
        </w:trPr>
        <w:tc>
          <w:tcPr>
            <w:tcW w:w="94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1856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2040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2632" w:type="dxa"/>
            <w:vAlign w:val="center"/>
          </w:tcPr>
          <w:p>
            <w:pPr>
              <w:rPr>
                <w:rFonts w:ascii="宋体" w:hAnsi="宋体" w:cs="宋体"/>
                <w:sz w:val="24"/>
              </w:rPr>
            </w:pPr>
          </w:p>
        </w:tc>
        <w:tc>
          <w:tcPr>
            <w:tcW w:w="1845" w:type="dxa"/>
            <w:vAlign w:val="center"/>
          </w:tcPr>
          <w:p>
            <w:pPr>
              <w:rPr>
                <w:rFonts w:ascii="宋体" w:hAnsi="宋体" w:cs="宋体"/>
                <w:bCs/>
                <w:sz w:val="24"/>
              </w:rPr>
            </w:pPr>
          </w:p>
        </w:tc>
      </w:tr>
    </w:tbl>
    <w:p>
      <w:pPr>
        <w:pStyle w:val="14"/>
        <w:ind w:left="0"/>
        <w:jc w:val="both"/>
        <w:rPr>
          <w:rFonts w:ascii="宋体" w:hAnsi="宋体" w:cs="宋体"/>
          <w:b/>
          <w:sz w:val="28"/>
          <w:szCs w:val="28"/>
        </w:rPr>
      </w:pPr>
    </w:p>
    <w:p>
      <w:pPr>
        <w:pStyle w:val="14"/>
        <w:ind w:left="0"/>
        <w:jc w:val="center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目  录</w:t>
      </w:r>
    </w:p>
    <w:p>
      <w:pPr>
        <w:pStyle w:val="19"/>
        <w:rPr>
          <w:rFonts w:asciiTheme="minorHAnsi" w:hAnsiTheme="minorHAnsi" w:eastAsiaTheme="minorEastAsia" w:cstheme="minorBidi"/>
          <w:caps w:val="0"/>
          <w:szCs w:val="22"/>
        </w:rPr>
      </w:pPr>
      <w:r>
        <w:rPr>
          <w:rFonts w:hint="eastAsia" w:ascii="宋体" w:hAnsi="宋体" w:cs="宋体"/>
        </w:rPr>
        <w:fldChar w:fldCharType="begin"/>
      </w:r>
      <w:r>
        <w:rPr>
          <w:rFonts w:hint="eastAsia" w:ascii="宋体" w:hAnsi="宋体" w:cs="宋体"/>
        </w:rPr>
        <w:instrText xml:space="preserve"> TOC \o "1-4" \h \z \u </w:instrText>
      </w:r>
      <w:r>
        <w:rPr>
          <w:rFonts w:hint="eastAsia" w:ascii="宋体" w:hAnsi="宋体" w:cs="宋体"/>
        </w:rPr>
        <w:fldChar w:fldCharType="separate"/>
      </w:r>
      <w:r>
        <w:fldChar w:fldCharType="begin"/>
      </w:r>
      <w:r>
        <w:instrText xml:space="preserve"> HYPERLINK \l "_Toc530759876" </w:instrText>
      </w:r>
      <w:r>
        <w:fldChar w:fldCharType="separate"/>
      </w:r>
      <w:r>
        <w:rPr>
          <w:rStyle w:val="24"/>
          <w:rFonts w:cs="宋体"/>
        </w:rPr>
        <w:t>一、产品描述</w:t>
      </w:r>
      <w:r>
        <w:tab/>
      </w:r>
      <w:r>
        <w:fldChar w:fldCharType="begin"/>
      </w:r>
      <w:r>
        <w:instrText xml:space="preserve"> PAGEREF _Toc530759876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1"/>
        <w:tabs>
          <w:tab w:val="left" w:pos="426"/>
          <w:tab w:val="clear" w:pos="840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"_Toc530759877" </w:instrText>
      </w:r>
      <w:r>
        <w:fldChar w:fldCharType="separate"/>
      </w:r>
      <w:r>
        <w:rPr>
          <w:rStyle w:val="24"/>
          <w:rFonts w:cs="宋体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4"/>
          <w:rFonts w:cs="宋体"/>
        </w:rPr>
        <w:t>产品背景</w:t>
      </w:r>
      <w:r>
        <w:tab/>
      </w:r>
      <w:r>
        <w:fldChar w:fldCharType="begin"/>
      </w:r>
      <w:r>
        <w:instrText xml:space="preserve"> PAGEREF _Toc530759877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1"/>
        <w:tabs>
          <w:tab w:val="left" w:pos="426"/>
          <w:tab w:val="clear" w:pos="840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"_Toc530759878" </w:instrText>
      </w:r>
      <w:r>
        <w:fldChar w:fldCharType="separate"/>
      </w:r>
      <w:r>
        <w:rPr>
          <w:rStyle w:val="24"/>
          <w:rFonts w:cs="宋体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4"/>
          <w:rFonts w:cs="宋体"/>
        </w:rPr>
        <w:t>产品功能清单</w:t>
      </w:r>
      <w:r>
        <w:tab/>
      </w:r>
      <w:r>
        <w:fldChar w:fldCharType="begin"/>
      </w:r>
      <w:r>
        <w:instrText xml:space="preserve"> PAGEREF _Toc530759878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caps w:val="0"/>
          <w:szCs w:val="22"/>
        </w:rPr>
      </w:pPr>
      <w:r>
        <w:fldChar w:fldCharType="begin"/>
      </w:r>
      <w:r>
        <w:instrText xml:space="preserve"> HYPERLINK \l "_Toc530759879" </w:instrText>
      </w:r>
      <w:r>
        <w:fldChar w:fldCharType="separate"/>
      </w:r>
      <w:r>
        <w:rPr>
          <w:rStyle w:val="24"/>
          <w:rFonts w:cs="宋体"/>
        </w:rPr>
        <w:t>二、产品详情</w:t>
      </w:r>
      <w:r>
        <w:tab/>
      </w:r>
      <w:r>
        <w:fldChar w:fldCharType="begin"/>
      </w:r>
      <w:r>
        <w:instrText xml:space="preserve"> PAGEREF _Toc530759879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"_Toc530759880" </w:instrText>
      </w:r>
      <w:r>
        <w:fldChar w:fldCharType="separate"/>
      </w:r>
      <w:r>
        <w:rPr>
          <w:rStyle w:val="24"/>
          <w:rFonts w:cs="宋体"/>
        </w:rPr>
        <w:t>1．功能性需求</w:t>
      </w:r>
      <w:r>
        <w:tab/>
      </w:r>
      <w:r>
        <w:fldChar w:fldCharType="begin"/>
      </w:r>
      <w:r>
        <w:instrText xml:space="preserve"> PAGEREF _Toc530759880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clear" w:pos="1260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"_Toc530759881" </w:instrText>
      </w:r>
      <w:r>
        <w:fldChar w:fldCharType="separate"/>
      </w:r>
      <w:r>
        <w:rPr>
          <w:rStyle w:val="24"/>
          <w:rFonts w:ascii="宋体" w:hAnsi="宋体" w:cs="宋体"/>
        </w:rPr>
        <w:t>1.1</w:t>
      </w:r>
      <w:r>
        <w:rPr>
          <w:rStyle w:val="24"/>
          <w:rFonts w:ascii="宋体" w:hAnsi="宋体" w:cs="宋体"/>
          <w:bCs/>
        </w:rPr>
        <w:t>企业用户</w:t>
      </w:r>
      <w:r>
        <w:tab/>
      </w:r>
      <w:r>
        <w:fldChar w:fldCharType="begin"/>
      </w:r>
      <w:r>
        <w:instrText xml:space="preserve"> PAGEREF _Toc530759881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"_Toc530759882" </w:instrText>
      </w:r>
      <w:r>
        <w:fldChar w:fldCharType="separate"/>
      </w:r>
      <w:r>
        <w:rPr>
          <w:rStyle w:val="24"/>
        </w:rPr>
        <w:t>1.1.1  vip客户车辆新增</w:t>
      </w:r>
      <w:r>
        <w:tab/>
      </w:r>
      <w:r>
        <w:fldChar w:fldCharType="begin"/>
      </w:r>
      <w:r>
        <w:instrText xml:space="preserve"> PAGEREF _Toc530759882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"_Toc530759883" </w:instrText>
      </w:r>
      <w:r>
        <w:fldChar w:fldCharType="separate"/>
      </w:r>
      <w:r>
        <w:rPr>
          <w:rStyle w:val="24"/>
        </w:rPr>
        <w:t>1.1.2  vip客户车辆信息列表</w:t>
      </w:r>
      <w:r>
        <w:tab/>
      </w:r>
      <w:r>
        <w:fldChar w:fldCharType="begin"/>
      </w:r>
      <w:r>
        <w:instrText xml:space="preserve"> PAGEREF _Toc530759883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"_Toc530759884" </w:instrText>
      </w:r>
      <w:r>
        <w:fldChar w:fldCharType="separate"/>
      </w:r>
      <w:r>
        <w:rPr>
          <w:rStyle w:val="24"/>
        </w:rPr>
        <w:t>1.1.3  workgo消息推送</w:t>
      </w:r>
      <w:r>
        <w:tab/>
      </w:r>
      <w:r>
        <w:fldChar w:fldCharType="begin"/>
      </w:r>
      <w:r>
        <w:instrText xml:space="preserve"> PAGEREF _Toc530759884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"_Toc530759885" </w:instrText>
      </w:r>
      <w:r>
        <w:fldChar w:fldCharType="separate"/>
      </w:r>
      <w:r>
        <w:rPr>
          <w:rStyle w:val="24"/>
        </w:rPr>
        <w:t>1.1.4 取消预约</w:t>
      </w:r>
      <w:r>
        <w:tab/>
      </w:r>
      <w:r>
        <w:fldChar w:fldCharType="begin"/>
      </w:r>
      <w:r>
        <w:instrText xml:space="preserve"> PAGEREF _Toc530759885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"_Toc530759886" </w:instrText>
      </w:r>
      <w:r>
        <w:fldChar w:fldCharType="separate"/>
      </w:r>
      <w:r>
        <w:rPr>
          <w:rStyle w:val="24"/>
        </w:rPr>
        <w:t>1.2 企业管理员</w:t>
      </w:r>
      <w:r>
        <w:tab/>
      </w:r>
      <w:r>
        <w:fldChar w:fldCharType="begin"/>
      </w:r>
      <w:r>
        <w:instrText xml:space="preserve"> PAGEREF _Toc530759886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"_Toc530759887" </w:instrText>
      </w:r>
      <w:r>
        <w:fldChar w:fldCharType="separate"/>
      </w:r>
      <w:r>
        <w:rPr>
          <w:rStyle w:val="24"/>
        </w:rPr>
        <w:t>1.3车费缴纳员</w:t>
      </w:r>
      <w:r>
        <w:tab/>
      </w:r>
      <w:r>
        <w:fldChar w:fldCharType="begin"/>
      </w:r>
      <w:r>
        <w:instrText xml:space="preserve"> PAGEREF _Toc530759887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"_Toc530759888" </w:instrText>
      </w:r>
      <w:r>
        <w:fldChar w:fldCharType="separate"/>
      </w:r>
      <w:r>
        <w:rPr>
          <w:rStyle w:val="24"/>
        </w:rPr>
        <w:t xml:space="preserve">1.3.1 </w:t>
      </w:r>
      <w:r>
        <w:rPr>
          <w:rStyle w:val="24"/>
          <w:rFonts w:ascii="宋体" w:hAnsi="宋体" w:cs="宋体"/>
          <w:kern w:val="0"/>
        </w:rPr>
        <w:t>vip客户车辆授权</w:t>
      </w:r>
      <w:r>
        <w:tab/>
      </w:r>
      <w:r>
        <w:fldChar w:fldCharType="begin"/>
      </w:r>
      <w:r>
        <w:instrText xml:space="preserve"> PAGEREF _Toc530759888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"_Toc530759889" </w:instrText>
      </w:r>
      <w:r>
        <w:fldChar w:fldCharType="separate"/>
      </w:r>
      <w:r>
        <w:rPr>
          <w:rStyle w:val="24"/>
        </w:rPr>
        <w:t xml:space="preserve">1.3.2 </w:t>
      </w:r>
      <w:r>
        <w:rPr>
          <w:rStyle w:val="24"/>
          <w:rFonts w:ascii="宋体" w:hAnsi="宋体" w:cs="宋体"/>
          <w:kern w:val="0"/>
        </w:rPr>
        <w:t>补缴服务费</w:t>
      </w:r>
      <w:r>
        <w:tab/>
      </w:r>
      <w:r>
        <w:fldChar w:fldCharType="begin"/>
      </w:r>
      <w:r>
        <w:instrText xml:space="preserve"> PAGEREF _Toc530759889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"_Toc530759890" </w:instrText>
      </w:r>
      <w:r>
        <w:fldChar w:fldCharType="separate"/>
      </w:r>
      <w:r>
        <w:rPr>
          <w:rStyle w:val="24"/>
        </w:rPr>
        <w:t>1.3.3 历史</w:t>
      </w:r>
      <w:r>
        <w:rPr>
          <w:rStyle w:val="24"/>
          <w:rFonts w:hint="eastAsia"/>
        </w:rPr>
        <w:t>订单</w:t>
      </w:r>
      <w:r>
        <w:tab/>
      </w:r>
      <w:r>
        <w:fldChar w:fldCharType="begin"/>
      </w:r>
      <w:r>
        <w:instrText xml:space="preserve"> PAGEREF _Toc530759890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"_Toc530759891" </w:instrText>
      </w:r>
      <w:r>
        <w:fldChar w:fldCharType="separate"/>
      </w:r>
      <w:r>
        <w:rPr>
          <w:rStyle w:val="24"/>
        </w:rPr>
        <w:t>1.4 电子屏展示</w:t>
      </w:r>
      <w:r>
        <w:tab/>
      </w:r>
      <w:r>
        <w:fldChar w:fldCharType="begin"/>
      </w:r>
      <w:r>
        <w:instrText xml:space="preserve"> PAGEREF _Toc530759891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"_Toc530759892" </w:instrText>
      </w:r>
      <w:r>
        <w:fldChar w:fldCharType="separate"/>
      </w:r>
      <w:r>
        <w:rPr>
          <w:rStyle w:val="24"/>
        </w:rPr>
        <w:t>1.5 园区管理中心</w:t>
      </w:r>
      <w:r>
        <w:tab/>
      </w:r>
      <w:r>
        <w:fldChar w:fldCharType="begin"/>
      </w:r>
      <w:r>
        <w:instrText xml:space="preserve"> PAGEREF _Toc530759892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"_Toc530759893" </w:instrText>
      </w:r>
      <w:r>
        <w:fldChar w:fldCharType="separate"/>
      </w:r>
      <w:r>
        <w:rPr>
          <w:rStyle w:val="24"/>
        </w:rPr>
        <w:t>1.5.1 vip车位设置</w:t>
      </w:r>
      <w:r>
        <w:tab/>
      </w:r>
      <w:r>
        <w:fldChar w:fldCharType="begin"/>
      </w:r>
      <w:r>
        <w:instrText xml:space="preserve"> PAGEREF _Toc530759893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3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"_Toc530759894" </w:instrText>
      </w:r>
      <w:r>
        <w:fldChar w:fldCharType="separate"/>
      </w:r>
      <w:r>
        <w:rPr>
          <w:rStyle w:val="24"/>
        </w:rPr>
        <w:t>1.5.2 vip车辆历史</w:t>
      </w:r>
      <w:r>
        <w:rPr>
          <w:rStyle w:val="24"/>
          <w:rFonts w:hint="eastAsia"/>
        </w:rPr>
        <w:t>订单</w:t>
      </w:r>
      <w:r>
        <w:tab/>
      </w:r>
      <w:r>
        <w:fldChar w:fldCharType="begin"/>
      </w:r>
      <w:r>
        <w:instrText xml:space="preserve"> PAGEREF _Toc530759894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caps w:val="0"/>
          <w:szCs w:val="22"/>
        </w:rPr>
      </w:pPr>
      <w:r>
        <w:fldChar w:fldCharType="begin"/>
      </w:r>
      <w:r>
        <w:instrText xml:space="preserve"> HYPERLINK \l "_Toc530759895" </w:instrText>
      </w:r>
      <w:r>
        <w:fldChar w:fldCharType="separate"/>
      </w:r>
      <w:r>
        <w:rPr>
          <w:rStyle w:val="24"/>
          <w:rFonts w:cs="宋体"/>
        </w:rPr>
        <w:t>2.</w:t>
      </w:r>
      <w:r>
        <w:rPr>
          <w:rFonts w:asciiTheme="minorHAnsi" w:hAnsiTheme="minorHAnsi" w:eastAsiaTheme="minorEastAsia" w:cstheme="minorBidi"/>
          <w:caps w:val="0"/>
          <w:szCs w:val="22"/>
        </w:rPr>
        <w:tab/>
      </w:r>
      <w:r>
        <w:rPr>
          <w:rStyle w:val="24"/>
          <w:rFonts w:cs="宋体"/>
        </w:rPr>
        <w:t>非功能性需求</w:t>
      </w:r>
      <w:r>
        <w:tab/>
      </w:r>
      <w:r>
        <w:fldChar w:fldCharType="begin"/>
      </w:r>
      <w:r>
        <w:instrText xml:space="preserve"> PAGEREF _Toc530759895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clear" w:pos="1260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"_Toc530759896" </w:instrText>
      </w:r>
      <w:r>
        <w:fldChar w:fldCharType="separate"/>
      </w:r>
      <w:r>
        <w:rPr>
          <w:rStyle w:val="24"/>
          <w:rFonts w:ascii="宋体" w:hAnsi="宋体" w:cs="宋体"/>
          <w:bCs/>
        </w:rPr>
        <w:t>2.1.兼容性需求</w:t>
      </w:r>
      <w:r>
        <w:tab/>
      </w:r>
      <w:r>
        <w:fldChar w:fldCharType="begin"/>
      </w:r>
      <w:r>
        <w:instrText xml:space="preserve"> PAGEREF _Toc530759896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clear" w:pos="1260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"_Toc530759897" </w:instrText>
      </w:r>
      <w:r>
        <w:fldChar w:fldCharType="separate"/>
      </w:r>
      <w:r>
        <w:rPr>
          <w:rStyle w:val="24"/>
          <w:rFonts w:ascii="宋体" w:hAnsi="宋体" w:cs="宋体"/>
          <w:bCs/>
        </w:rPr>
        <w:t>2.2.性能需求</w:t>
      </w:r>
      <w:r>
        <w:tab/>
      </w:r>
      <w:r>
        <w:fldChar w:fldCharType="begin"/>
      </w:r>
      <w:r>
        <w:instrText xml:space="preserve"> PAGEREF _Toc530759897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clear" w:pos="1260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"_Toc530759898" </w:instrText>
      </w:r>
      <w:r>
        <w:fldChar w:fldCharType="separate"/>
      </w:r>
      <w:r>
        <w:rPr>
          <w:rStyle w:val="24"/>
          <w:rFonts w:ascii="宋体" w:hAnsi="宋体" w:cs="宋体"/>
          <w:bCs/>
        </w:rPr>
        <w:t>2.3.安全需求</w:t>
      </w:r>
      <w:r>
        <w:tab/>
      </w:r>
      <w:r>
        <w:fldChar w:fldCharType="begin"/>
      </w:r>
      <w:r>
        <w:instrText xml:space="preserve"> PAGEREF _Toc530759898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clear" w:pos="1260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"_Toc530759899" </w:instrText>
      </w:r>
      <w:r>
        <w:fldChar w:fldCharType="separate"/>
      </w:r>
      <w:r>
        <w:rPr>
          <w:rStyle w:val="24"/>
          <w:rFonts w:ascii="宋体" w:hAnsi="宋体" w:cs="宋体"/>
          <w:bCs/>
        </w:rPr>
        <w:t>2.4.可靠性需求</w:t>
      </w:r>
      <w:r>
        <w:tab/>
      </w:r>
      <w:r>
        <w:fldChar w:fldCharType="begin"/>
      </w:r>
      <w:r>
        <w:instrText xml:space="preserve"> PAGEREF _Toc530759899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caps w:val="0"/>
          <w:szCs w:val="22"/>
        </w:rPr>
      </w:pPr>
      <w:r>
        <w:fldChar w:fldCharType="begin"/>
      </w:r>
      <w:r>
        <w:instrText xml:space="preserve"> HYPERLINK \l "_Toc530759900" </w:instrText>
      </w:r>
      <w:r>
        <w:fldChar w:fldCharType="separate"/>
      </w:r>
      <w:r>
        <w:rPr>
          <w:rStyle w:val="24"/>
          <w:rFonts w:cs="宋体"/>
        </w:rPr>
        <w:t>三、参考资料</w:t>
      </w:r>
      <w:r>
        <w:tab/>
      </w:r>
      <w:r>
        <w:fldChar w:fldCharType="begin"/>
      </w:r>
      <w:r>
        <w:instrText xml:space="preserve"> PAGEREF _Toc530759900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rPr>
          <w:rFonts w:ascii="宋体" w:hAnsi="宋体" w:cs="宋体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7" w:h="16840"/>
          <w:pgMar w:top="1440" w:right="1797" w:bottom="1440" w:left="1797" w:header="720" w:footer="720" w:gutter="0"/>
          <w:pgNumType w:start="1"/>
          <w:cols w:space="720" w:num="1"/>
          <w:titlePg/>
        </w:sectPr>
      </w:pPr>
      <w:r>
        <w:rPr>
          <w:rFonts w:hint="eastAsia" w:ascii="宋体" w:hAnsi="宋体" w:cs="宋体"/>
        </w:rPr>
        <w:fldChar w:fldCharType="end"/>
      </w:r>
    </w:p>
    <w:p>
      <w:pPr>
        <w:pStyle w:val="2"/>
        <w:numPr>
          <w:ilvl w:val="0"/>
          <w:numId w:val="2"/>
        </w:numPr>
        <w:tabs>
          <w:tab w:val="clear" w:pos="574"/>
        </w:tabs>
        <w:ind w:firstLine="0"/>
        <w:rPr>
          <w:rFonts w:cs="宋体"/>
        </w:rPr>
      </w:pPr>
      <w:bookmarkStart w:id="0" w:name="_Toc530759876"/>
      <w:bookmarkStart w:id="1" w:name="_Toc90784481"/>
      <w:bookmarkStart w:id="2" w:name="_Toc94342913"/>
      <w:bookmarkStart w:id="3" w:name="_Toc94343046"/>
      <w:r>
        <w:rPr>
          <w:rFonts w:hint="eastAsia" w:cs="宋体"/>
        </w:rPr>
        <w:t>产品描述</w:t>
      </w:r>
      <w:bookmarkEnd w:id="0"/>
    </w:p>
    <w:p>
      <w:pPr>
        <w:pStyle w:val="5"/>
        <w:numPr>
          <w:ilvl w:val="0"/>
          <w:numId w:val="3"/>
        </w:numPr>
        <w:tabs>
          <w:tab w:val="clear" w:pos="718"/>
        </w:tabs>
        <w:ind w:left="-420" w:firstLine="718"/>
        <w:rPr>
          <w:rFonts w:cs="宋体"/>
        </w:rPr>
      </w:pPr>
      <w:bookmarkStart w:id="4" w:name="_Toc530759877"/>
      <w:r>
        <w:rPr>
          <w:rFonts w:hint="eastAsia" w:cs="宋体"/>
        </w:rPr>
        <w:t>产品背景</w:t>
      </w:r>
      <w:bookmarkEnd w:id="4"/>
    </w:p>
    <w:p>
      <w:pPr>
        <w:pStyle w:val="3"/>
        <w:rPr>
          <w:rFonts w:ascii="宋体" w:hAnsi="宋体" w:cs="宋体"/>
          <w:iCs/>
          <w:color w:val="auto"/>
        </w:rPr>
      </w:pPr>
      <w:r>
        <w:rPr>
          <w:rFonts w:hint="eastAsia" w:ascii="宋体" w:hAnsi="宋体" w:cs="宋体"/>
          <w:iCs/>
          <w:color w:val="auto"/>
        </w:rPr>
        <w:t>基于workgo智慧停车2.0版本业务，针对园区内企业提出vip客户车辆的进出场提醒功能，丰富智慧停车业务，进行智慧停车2.1版本的迭代规划。</w:t>
      </w:r>
    </w:p>
    <w:p>
      <w:pPr>
        <w:pStyle w:val="5"/>
        <w:numPr>
          <w:ilvl w:val="0"/>
          <w:numId w:val="3"/>
        </w:numPr>
        <w:tabs>
          <w:tab w:val="clear" w:pos="718"/>
        </w:tabs>
        <w:ind w:left="-420" w:firstLine="718"/>
        <w:rPr>
          <w:rFonts w:cs="宋体"/>
        </w:rPr>
      </w:pPr>
      <w:bookmarkStart w:id="5" w:name="_Toc530759878"/>
      <w:r>
        <w:rPr>
          <w:rFonts w:hint="eastAsia" w:cs="宋体"/>
        </w:rPr>
        <w:t>产品功能清单</w:t>
      </w:r>
      <w:bookmarkEnd w:id="5"/>
    </w:p>
    <w:tbl>
      <w:tblPr>
        <w:tblStyle w:val="26"/>
        <w:tblpPr w:leftFromText="180" w:rightFromText="180" w:vertAnchor="text" w:horzAnchor="page" w:tblpX="1885" w:tblpY="442"/>
        <w:tblOverlap w:val="never"/>
        <w:tblW w:w="90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8"/>
        <w:gridCol w:w="846"/>
        <w:gridCol w:w="1337"/>
        <w:gridCol w:w="2820"/>
        <w:gridCol w:w="3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6" w:hRule="atLeast"/>
        </w:trPr>
        <w:tc>
          <w:tcPr>
            <w:tcW w:w="65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bookmarkStart w:id="6" w:name="_Hlk530391040"/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端口</w:t>
            </w:r>
          </w:p>
        </w:tc>
        <w:tc>
          <w:tcPr>
            <w:tcW w:w="846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角色</w:t>
            </w:r>
          </w:p>
        </w:tc>
        <w:tc>
          <w:tcPr>
            <w:tcW w:w="1337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功能模块</w:t>
            </w:r>
          </w:p>
        </w:tc>
        <w:tc>
          <w:tcPr>
            <w:tcW w:w="2820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功能概述</w:t>
            </w:r>
          </w:p>
        </w:tc>
        <w:tc>
          <w:tcPr>
            <w:tcW w:w="3419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7" w:hRule="atLeast"/>
        </w:trPr>
        <w:tc>
          <w:tcPr>
            <w:tcW w:w="658" w:type="dxa"/>
            <w:vMerge w:val="restart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APP端</w:t>
            </w:r>
          </w:p>
        </w:tc>
        <w:tc>
          <w:tcPr>
            <w:tcW w:w="846" w:type="dxa"/>
            <w:vMerge w:val="restart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用户</w:t>
            </w: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车辆信息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  <w:highlight w:val="lightGray"/>
              </w:rPr>
              <w:t>1、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vi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p车辆信息列表展示包括车牌号、客户姓名、预约状态；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2、新增vip客户车辆信息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包含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vip客户的车牌号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姓名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预约时间段、客户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手机号（选填）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、备注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（选填）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numPr>
                <w:ilvl w:val="0"/>
                <w:numId w:val="4"/>
              </w:num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单次预约有效（以车辆有效进出场一次为基准）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numPr>
                <w:ilvl w:val="0"/>
                <w:numId w:val="4"/>
              </w:num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车辆的用户ID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必须具备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该园区企业用户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数据信息，该企业已配置车费缴纳员，否则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不具备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ip客户车辆的权限；</w:t>
            </w:r>
          </w:p>
          <w:p>
            <w:pPr>
              <w:pStyle w:val="4"/>
              <w:numPr>
                <w:ilvl w:val="0"/>
                <w:numId w:val="4"/>
              </w:num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新增的车辆车牌号需要判断：</w:t>
            </w:r>
            <w:r>
              <w:rPr>
                <w:rFonts w:hint="eastAsia" w:ascii="宋体" w:hAnsi="宋体" w:cs="宋体"/>
                <w:kern w:val="0"/>
                <w:sz w:val="20"/>
              </w:rPr>
              <w:t>车牌信息是否是预约中车辆</w:t>
            </w:r>
            <w:r>
              <w:rPr>
                <w:rFonts w:ascii="宋体" w:hAnsi="宋体" w:cs="宋体"/>
                <w:kern w:val="0"/>
                <w:sz w:val="20"/>
              </w:rPr>
              <w:t>或已进场车辆</w:t>
            </w:r>
            <w:r>
              <w:rPr>
                <w:rFonts w:hint="eastAsia" w:ascii="宋体" w:hAnsi="宋体" w:cs="宋体"/>
                <w:kern w:val="0"/>
                <w:sz w:val="20"/>
              </w:rPr>
              <w:t>，若已存在则不可新增；</w:t>
            </w:r>
          </w:p>
          <w:p>
            <w:pPr>
              <w:pStyle w:val="4"/>
              <w:numPr>
                <w:ilvl w:val="0"/>
                <w:numId w:val="4"/>
              </w:num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新增车辆前需要判断：</w:t>
            </w:r>
            <w:r>
              <w:rPr>
                <w:rFonts w:hint="eastAsia" w:ascii="宋体" w:hAnsi="宋体" w:cs="宋体"/>
                <w:kern w:val="0"/>
                <w:sz w:val="20"/>
              </w:rPr>
              <w:t>当前企业是否有车费欠款，如果有欠费则不允许新增v</w:t>
            </w:r>
            <w:r>
              <w:rPr>
                <w:rFonts w:ascii="宋体" w:hAnsi="宋体" w:cs="宋体"/>
                <w:kern w:val="0"/>
                <w:sz w:val="20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</w:rPr>
              <w:t>车辆，需要先补缴服务费才可以继续使用该功能，弹框提示内容：请先联系车费缴纳员补缴服务费，才可以新增v</w:t>
            </w:r>
            <w:r>
              <w:rPr>
                <w:rFonts w:ascii="宋体" w:hAnsi="宋体" w:cs="宋体"/>
                <w:kern w:val="0"/>
                <w:sz w:val="20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</w:rPr>
              <w:t>客户车辆；</w:t>
            </w:r>
          </w:p>
          <w:p>
            <w:pPr>
              <w:pStyle w:val="4"/>
              <w:numPr>
                <w:ilvl w:val="0"/>
                <w:numId w:val="4"/>
              </w:num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选填信息没有不展示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；车辆列表的信息展示按照新增时间倒序排列；</w:t>
            </w:r>
          </w:p>
          <w:p>
            <w:pPr>
              <w:pStyle w:val="4"/>
              <w:numPr>
                <w:ilvl w:val="0"/>
                <w:numId w:val="4"/>
              </w:numPr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当天提交的vip客户车辆信息如果没有预约成功，将自动变为失效记录，列表不展示（信息当天有效）；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55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w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orkgo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消息推送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1、企业员工预约vip客户车辆后，车费缴纳员将收到workgo消息推送通知；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2、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客户车辆预约成功，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通过workgo推送消息提醒预约的用户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3、用户所预约的vip客户车辆进场时，通过workgo推送消息提醒预约的用户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4、企业员工取消vip客户车辆预约后，车费缴纳员将收到workgo的推送提醒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（预约未成功的，不需要消息推送）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5、车费缴纳员对vip车位预约信息拒绝授权后，企业员工将收到workgo消息提醒；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【企业员工】提示内容：您有一条新的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xxx 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车辆预约等待授权，请及时查看；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已经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预约成功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于于 2018年12月1日10点30分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到达园区，请您做好接待工作；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车辆预约失败，若有疑问请及时联系车费缴纳员确认；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已经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取消预约，本次vip车辆预约服务费在预约取消后将原路退还，请注意查收；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55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取消预约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员工可以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取消vip客户车辆的预约；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默认前一天17:00前预约的订单可取消（取消后自动退款或免费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体验时长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 xml:space="preserve">），当天预约订单不可取消； 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默认的截止时间可由园区管理员在园区管理中心设置；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管理员</w:t>
            </w: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设置车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费缴纳员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（我的企业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-服务管理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模块）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管理模块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，企业管理员通过添加手机号的方式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设置车费缴纳员；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若企业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没有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设置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缴纳员则该企业员工无法使用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vip客户车辆预约的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功能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当企业没有该功能的使用权限时，页面提示用户“当前无法使用该功能，请联系企业管理员设置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缴纳员”；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每个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企业车费缴纳员数量不设上限；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企业管理员也可将自己设置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为车费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Merge w:val="restart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车费缴纳员</w:t>
            </w: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vip客户车辆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授权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1、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车费缴纳员在workgo消息推送中可通过点击消息详情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进行授权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，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授权成功则需要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完成预约服务费的缴纳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，拒绝授权则此次预约失效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2、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在（我的企业-服务管理模块）查看该企业员工申请预约vip客户车辆的列表信息，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授权成功则需要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完成预约服务费的缴纳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，拒绝授权则此次预约失效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若园区为企业提供免费时长，则优先使用免费时间，预约服务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为0元；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拒绝授权需要弹框提示：是否拒绝此次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客户车辆预定车位申请？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vip客户车辆列表信息按照该企业员工申请预约的时间正序排列；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补缴服务费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车辆离场时，需要计算其停车费用，若超出预约服务费，则需要补缴费用后才具备新增vip客户车位的权限；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若超过服务费，此次vip车辆仍然可以正常出场；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0"/>
                <w:szCs w:val="21"/>
              </w:rPr>
              <w:t>历史订单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车费缴纳员可以查看该企业下所有</w:t>
            </w:r>
            <w:r>
              <w:rPr>
                <w:rFonts w:hint="eastAsia" w:ascii="宋体" w:hAnsi="宋体" w:cs="宋体"/>
                <w:color w:val="FF0000"/>
                <w:kern w:val="0"/>
                <w:sz w:val="20"/>
                <w:szCs w:val="21"/>
              </w:rPr>
              <w:t>已缴费</w:t>
            </w:r>
            <w:r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的vip客户车辆订单</w:t>
            </w:r>
            <w:r>
              <w:rPr>
                <w:rFonts w:hint="eastAsia" w:ascii="宋体" w:hAnsi="宋体" w:cs="宋体"/>
                <w:color w:val="FF0000"/>
                <w:kern w:val="0"/>
                <w:sz w:val="20"/>
                <w:szCs w:val="21"/>
              </w:rPr>
              <w:t>及订单详情</w:t>
            </w:r>
            <w:r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信息，按照时间维度可筛查并查看详情；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历史</w:t>
            </w:r>
            <w:r>
              <w:rPr>
                <w:rFonts w:hint="eastAsia" w:ascii="宋体" w:hAnsi="宋体" w:cs="宋体"/>
                <w:color w:val="FF0000"/>
                <w:kern w:val="0"/>
                <w:sz w:val="20"/>
                <w:szCs w:val="21"/>
              </w:rPr>
              <w:t>订单</w:t>
            </w:r>
            <w:r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可按照</w:t>
            </w:r>
            <w:r>
              <w:rPr>
                <w:rFonts w:hint="eastAsia" w:ascii="宋体" w:hAnsi="宋体" w:cs="宋体"/>
                <w:color w:val="FF0000"/>
                <w:kern w:val="0"/>
                <w:sz w:val="20"/>
                <w:szCs w:val="21"/>
              </w:rPr>
              <w:t>日/月</w:t>
            </w:r>
            <w:r>
              <w:rPr>
                <w:rFonts w:ascii="宋体" w:hAnsi="宋体" w:cs="宋体"/>
                <w:color w:val="FF0000"/>
                <w:kern w:val="0"/>
                <w:sz w:val="20"/>
                <w:szCs w:val="21"/>
              </w:rPr>
              <w:t>份报表的形式下载导出；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电子屏端</w:t>
            </w:r>
          </w:p>
        </w:tc>
        <w:tc>
          <w:tcPr>
            <w:tcW w:w="846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保安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、收费员</w:t>
            </w: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客户车辆信息及进场提醒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1、电子屏展示当天该园区所有vip客户车辆预约信息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：车牌号码、到访企业、预约时间、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状态：未进场、进场、已离场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（按照时间正序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当v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车辆离场时，电子屏展示当前车辆为v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车辆，请先放行；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排列显示当日列表）</w:t>
            </w:r>
          </w:p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2、当vip车辆进场时，电子屏展示当前车辆信息：车牌号、客户姓名、到访企业；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硬件选型10寸pad屏幕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当v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车辆进出场时，需要语音提示保安或收费员；</w:t>
            </w:r>
          </w:p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车辆到达时电子屏展示vip客户车辆信息只可以手动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关闭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页面；</w:t>
            </w:r>
          </w:p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若多辆同时进场，则同屏展示多个车辆信息；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Merge w:val="restart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pc端</w:t>
            </w:r>
          </w:p>
        </w:tc>
        <w:tc>
          <w:tcPr>
            <w:tcW w:w="846" w:type="dxa"/>
            <w:vMerge w:val="restart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园区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管理员</w:t>
            </w: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vip车位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设置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园区管理员可以通过管理后台设置该园区的vip车位数量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（个）、免费体验时长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（x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小时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/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、预约服务费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（x元/小时）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有效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预留时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长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（前后x小时）、预约截止时间；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【免费体验时长】园区管理员可以统一设置该园区每家企业的免费体验时长，默认值为5小时，当免费体验时长为0的时候，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所有预约车辆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均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需要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收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取相应的服务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费；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【vip车位数量】该园区预留的vip车位数量，预定车位的时候若车位数量为0，则提示企业员工：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“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当前时段vip客户车位数量不足，请更换时间段进行预约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”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【预约服务费】一个车位一个小时预约的服务费，停车费用从预约费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当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取消预约的时候，该服务费退回至原账户；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【有效预留时长】预留时间段由园区管理员在园区管理中心设置；当设置为1小时的时候，预定时间向前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向后推一个小时，如：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企业员工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约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时间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下午13：00-15：00，则实际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园区为该车辆保留的有效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预约时间为12：00-16：00；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并以此作为有效时间进行判断；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【预约截止时间】取消预约需要在有效时间（预约开始时间-预约截止时间），预约截止时间由企业园区管理员设置，默认前一天的17：00前；当天预约的车辆不可以取消；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1" w:hRule="atLeast"/>
        </w:trPr>
        <w:tc>
          <w:tcPr>
            <w:tcW w:w="658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846" w:type="dxa"/>
            <w:vMerge w:val="continue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</w:p>
        </w:tc>
        <w:tc>
          <w:tcPr>
            <w:tcW w:w="1337" w:type="dxa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ip车辆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历史订单</w:t>
            </w:r>
          </w:p>
        </w:tc>
        <w:tc>
          <w:tcPr>
            <w:tcW w:w="2820" w:type="dxa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园区管理员可以查询当前园区所有企业预定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车位的历史订单，可按照订单列表展示并查看详情，根据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时间维度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和企业维度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可筛查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信息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</w:tc>
        <w:tc>
          <w:tcPr>
            <w:tcW w:w="3419" w:type="dxa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历史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订单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可按照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日/月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份报表的形式下载导出；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页面默认展示当月的vip车辆预约订单，按照预定时间倒序排列；</w:t>
            </w:r>
          </w:p>
        </w:tc>
      </w:tr>
      <w:bookmarkEnd w:id="6"/>
    </w:tbl>
    <w:p>
      <w:pPr>
        <w:pStyle w:val="4"/>
        <w:ind w:firstLine="0"/>
        <w:rPr>
          <w:rFonts w:ascii="华文黑体" w:hAnsi="华文黑体" w:eastAsia="华文黑体" w:cs="华文黑体"/>
          <w:szCs w:val="21"/>
        </w:rPr>
      </w:pPr>
    </w:p>
    <w:p>
      <w:pPr>
        <w:pStyle w:val="4"/>
        <w:ind w:firstLine="0"/>
        <w:rPr>
          <w:rFonts w:ascii="宋体" w:hAnsi="宋体" w:cs="宋体"/>
        </w:rPr>
      </w:pPr>
      <w:r>
        <w:rPr>
          <w:rFonts w:ascii="华文黑体" w:hAnsi="华文黑体" w:eastAsia="华文黑体" w:cs="华文黑体"/>
          <w:color w:val="FF0000"/>
          <w:sz w:val="28"/>
          <w:szCs w:val="28"/>
        </w:rPr>
        <w:t>【富士停车收费系统接入】当前版本接入新的停车道闸品牌，深圳富士智能停车系统；</w:t>
      </w:r>
    </w:p>
    <w:p>
      <w:pPr>
        <w:pStyle w:val="4"/>
        <w:jc w:val="center"/>
      </w:pPr>
    </w:p>
    <w:bookmarkEnd w:id="1"/>
    <w:bookmarkEnd w:id="2"/>
    <w:bookmarkEnd w:id="3"/>
    <w:p>
      <w:pPr>
        <w:pStyle w:val="2"/>
        <w:numPr>
          <w:ilvl w:val="0"/>
          <w:numId w:val="2"/>
        </w:numPr>
        <w:tabs>
          <w:tab w:val="clear" w:pos="574"/>
        </w:tabs>
        <w:ind w:firstLine="0"/>
        <w:rPr>
          <w:rFonts w:cs="宋体"/>
        </w:rPr>
      </w:pPr>
      <w:bookmarkStart w:id="7" w:name="_Toc530759879"/>
      <w:r>
        <w:rPr>
          <w:rFonts w:hint="eastAsia" w:cs="宋体"/>
        </w:rPr>
        <w:t>产品详情</w:t>
      </w:r>
      <w:bookmarkEnd w:id="7"/>
    </w:p>
    <w:p>
      <w:pPr>
        <w:pStyle w:val="5"/>
        <w:numPr>
          <w:ilvl w:val="1"/>
          <w:numId w:val="2"/>
        </w:numPr>
        <w:tabs>
          <w:tab w:val="clear" w:pos="718"/>
        </w:tabs>
        <w:ind w:firstLine="0"/>
        <w:rPr>
          <w:rFonts w:cs="宋体"/>
        </w:rPr>
      </w:pPr>
      <w:bookmarkStart w:id="8" w:name="_Toc530759880"/>
      <w:bookmarkStart w:id="9" w:name="_Toc384892135"/>
      <w:r>
        <w:rPr>
          <w:rFonts w:hint="eastAsia" w:cs="宋体"/>
        </w:rPr>
        <w:t>功能性需求</w:t>
      </w:r>
      <w:bookmarkEnd w:id="8"/>
    </w:p>
    <w:p>
      <w:pPr>
        <w:pStyle w:val="6"/>
        <w:numPr>
          <w:ilvl w:val="1"/>
          <w:numId w:val="5"/>
        </w:numPr>
        <w:rPr>
          <w:rFonts w:ascii="宋体" w:hAnsi="宋体" w:eastAsia="宋体" w:cs="宋体"/>
        </w:rPr>
      </w:pPr>
      <w:bookmarkStart w:id="10" w:name="_Toc530759881"/>
      <w:r>
        <w:rPr>
          <w:rFonts w:hint="eastAsia" w:ascii="宋体" w:hAnsi="宋体" w:eastAsia="宋体" w:cs="宋体"/>
          <w:b w:val="0"/>
          <w:bCs/>
        </w:rPr>
        <w:t>企业用户</w:t>
      </w:r>
      <w:bookmarkEnd w:id="10"/>
    </w:p>
    <w:p>
      <w:pPr>
        <w:pStyle w:val="7"/>
        <w:numPr>
          <w:ilvl w:val="2"/>
          <w:numId w:val="6"/>
        </w:numPr>
        <w:rPr>
          <w:b w:val="0"/>
        </w:rPr>
      </w:pPr>
      <w:bookmarkStart w:id="11" w:name="_Toc530759882"/>
      <w:r>
        <w:rPr>
          <w:rFonts w:hint="eastAsia"/>
          <w:b w:val="0"/>
        </w:rPr>
        <w:t>vip客户车位预约列表</w:t>
      </w:r>
      <w:bookmarkEnd w:id="11"/>
    </w:p>
    <w:p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sz w:val="20"/>
                <w:szCs w:val="20"/>
              </w:rPr>
              <w:t>vip客户车位预约列表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p车辆信息列表展示包括车牌号、预约时间、客户姓名、手机号、预约状态；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选填信息没有不展示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；车辆列表的信息展示按照新增时间倒序排列；当天提交的vip客户车辆信息如果没有预约成功，将自动变为失效记录，列表不展示（vip车辆信息预约申请当天有效）；</w:t>
            </w:r>
          </w:p>
        </w:tc>
      </w:tr>
    </w:tbl>
    <w:p>
      <w:pPr>
        <w:pStyle w:val="4"/>
        <w:ind w:firstLine="0"/>
        <w:rPr>
          <w:rFonts w:ascii="宋体" w:hAnsi="宋体" w:cs="宋体"/>
        </w:rPr>
      </w:pPr>
    </w:p>
    <w:p>
      <w:pPr>
        <w:pStyle w:val="4"/>
        <w:ind w:firstLine="0"/>
        <w:rPr>
          <w:rFonts w:ascii="宋体" w:hAnsi="宋体" w:cs="宋体"/>
        </w:rPr>
      </w:pPr>
      <w:r>
        <w:rPr>
          <w:rFonts w:hint="eastAsia" w:ascii="宋体" w:hAnsi="宋体" w:cs="宋体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602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602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115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新增预约</w:t>
            </w:r>
          </w:p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按钮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点击按钮进入新增vip车辆信息的页面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文字显示为“新增预约”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</w:rPr>
              <w:t>显示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车牌号、预约时间、客户姓名、手机号、预约状态</w:t>
            </w:r>
            <w:r>
              <w:rPr>
                <w:rFonts w:hint="eastAsia" w:ascii="宋体" w:hAnsi="宋体" w:cs="宋体"/>
                <w:kern w:val="0"/>
                <w:sz w:val="20"/>
              </w:rPr>
              <w:t>，点击跳转至</w:t>
            </w:r>
            <w:r>
              <w:rPr>
                <w:rFonts w:ascii="宋体" w:hAnsi="宋体" w:cs="宋体"/>
                <w:kern w:val="0"/>
                <w:sz w:val="20"/>
              </w:rPr>
              <w:t>车辆信息</w:t>
            </w:r>
            <w:r>
              <w:rPr>
                <w:rFonts w:hint="eastAsia" w:ascii="宋体" w:hAnsi="宋体" w:cs="宋体"/>
                <w:kern w:val="0"/>
                <w:sz w:val="20"/>
              </w:rPr>
              <w:t>详情</w:t>
            </w:r>
            <w:r>
              <w:rPr>
                <w:rFonts w:ascii="宋体" w:hAnsi="宋体" w:cs="宋体"/>
                <w:kern w:val="0"/>
                <w:sz w:val="20"/>
              </w:rPr>
              <w:t>页面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</w:rPr>
              <w:t>字段显示：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车牌号、预约时间、客户姓名、手机号、预约状态</w:t>
            </w:r>
            <w:r>
              <w:rPr>
                <w:rFonts w:ascii="宋体" w:hAnsi="宋体" w:cs="宋体"/>
                <w:kern w:val="0"/>
                <w:sz w:val="20"/>
              </w:rPr>
              <w:t>（</w:t>
            </w:r>
            <w:r>
              <w:rPr>
                <w:rFonts w:hint="eastAsia" w:ascii="宋体" w:hAnsi="宋体" w:cs="宋体"/>
                <w:kern w:val="0"/>
                <w:sz w:val="20"/>
              </w:rPr>
              <w:t>选填信息没有不展示</w:t>
            </w:r>
            <w:r>
              <w:rPr>
                <w:rFonts w:ascii="宋体" w:hAnsi="宋体" w:cs="宋体"/>
                <w:kern w:val="0"/>
                <w:sz w:val="20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取消预约</w:t>
            </w:r>
          </w:p>
          <w:p>
            <w:pPr>
              <w:pStyle w:val="4"/>
              <w:ind w:firstLine="400" w:firstLineChars="2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按钮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预约成功的vip车辆，可以取消预约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取消预约的前提是在有效时间内（开始时间-截止时间内），否则不可以取消预约，当天预约不可取消</w:t>
            </w:r>
          </w:p>
        </w:tc>
      </w:tr>
    </w:tbl>
    <w:p>
      <w:pPr>
        <w:pStyle w:val="4"/>
        <w:ind w:firstLine="0"/>
        <w:jc w:val="left"/>
        <w:rPr>
          <w:rFonts w:ascii="宋体" w:hAnsi="宋体" w:cs="宋体"/>
        </w:rPr>
      </w:pPr>
      <w:r>
        <w:drawing>
          <wp:inline distT="0" distB="0" distL="0" distR="0">
            <wp:extent cx="3272790" cy="28352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61" cy="28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19885" cy="28733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53" cy="28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12" w:name="_Toc530759883"/>
      <w:r>
        <w:rPr>
          <w:b w:val="0"/>
        </w:rPr>
        <w:t>1.1.</w:t>
      </w:r>
      <w:r>
        <w:rPr>
          <w:rFonts w:hint="eastAsia"/>
          <w:b w:val="0"/>
        </w:rPr>
        <w:t>2</w:t>
      </w:r>
      <w:bookmarkEnd w:id="12"/>
      <w:r>
        <w:rPr>
          <w:rFonts w:hint="eastAsia"/>
          <w:b w:val="0"/>
        </w:rPr>
        <w:t>vip客户车辆新增</w:t>
      </w:r>
    </w:p>
    <w:p>
      <w:pPr>
        <w:pStyle w:val="4"/>
        <w:numPr>
          <w:ilvl w:val="0"/>
          <w:numId w:val="7"/>
        </w:numPr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企业用户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车辆新增</w:t>
            </w:r>
          </w:p>
        </w:tc>
      </w:tr>
      <w:tr>
        <w:tblPrEx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新增vip客户车辆信息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包含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vip客户的车牌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姓名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预约时间、客户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手机号（选填）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、备注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（选填）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单次预约有效（以车辆有效进出场一次为基准）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；新增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车辆的用户ID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必须具备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该园区企业用户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数据信息，该企业已配置车费缴纳员，否则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不具备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ip客户车辆的权限；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新增的车辆车牌号需要判断：</w:t>
            </w:r>
            <w:r>
              <w:rPr>
                <w:rFonts w:hint="eastAsia" w:ascii="宋体" w:hAnsi="宋体" w:cs="宋体"/>
                <w:kern w:val="0"/>
                <w:sz w:val="20"/>
              </w:rPr>
              <w:t>车牌信息是否是预约中车辆</w:t>
            </w:r>
            <w:r>
              <w:rPr>
                <w:rFonts w:ascii="宋体" w:hAnsi="宋体" w:cs="宋体"/>
                <w:kern w:val="0"/>
                <w:sz w:val="20"/>
              </w:rPr>
              <w:t>或已进场车辆</w:t>
            </w:r>
            <w:r>
              <w:rPr>
                <w:rFonts w:hint="eastAsia" w:ascii="宋体" w:hAnsi="宋体" w:cs="宋体"/>
                <w:kern w:val="0"/>
                <w:sz w:val="20"/>
              </w:rPr>
              <w:t>，若已存在则不可新增；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新增车辆前需要判断：</w:t>
            </w:r>
            <w:r>
              <w:rPr>
                <w:rFonts w:hint="eastAsia" w:ascii="宋体" w:hAnsi="宋体" w:cs="宋体"/>
                <w:kern w:val="0"/>
                <w:sz w:val="20"/>
              </w:rPr>
              <w:t>当前企业是否有车费欠款，如果有欠费则不允许新增v</w:t>
            </w:r>
            <w:r>
              <w:rPr>
                <w:rFonts w:ascii="宋体" w:hAnsi="宋体" w:cs="宋体"/>
                <w:kern w:val="0"/>
                <w:sz w:val="20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</w:rPr>
              <w:t>车辆，需要先补缴服务费才可以继续使用该功能；</w:t>
            </w:r>
          </w:p>
        </w:tc>
      </w:tr>
    </w:tbl>
    <w:p>
      <w:pPr>
        <w:pStyle w:val="4"/>
        <w:ind w:firstLine="0"/>
        <w:rPr>
          <w:rFonts w:ascii="宋体" w:hAnsi="宋体" w:cs="宋体"/>
        </w:rPr>
      </w:pPr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2142"/>
        <w:gridCol w:w="4575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2142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4575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输入vip客户车牌信息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文字显示为“车牌”，车牌的输入方式采取手选＋填写的方式，车牌的第一个字母是手动选择的，其余采取手动输入。字符长度不超过8个字符；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输入vip客户姓名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文字显示为“姓名”。姓名最多输入15个中文字符，允许字母，但不允许符号、特殊字符；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输入vip客户手机号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文字显示为“手机号”，手机号为11位有效数字，判断是否是纯数字，没有字母、特殊符号、空格；客户手机号是选填项，如果填写缴费成功后则短信通知客户，如果不填写则不通知（此业务已实现）；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选择框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选择预约时间段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文字显示为“预约时间”，vip车辆实际预约时间为此预约时间将向前/向后推x小时，这个x小时由园区管理员设置；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输入备注信息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文字显示为“备注”，备注不是必填选项，字数限定50字以内，不含特殊字符；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确认按钮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提交新增的vip车辆信息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文字显示“确认”，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新增的车辆车牌号需要判断：</w:t>
            </w:r>
            <w:r>
              <w:rPr>
                <w:rFonts w:hint="eastAsia" w:ascii="宋体" w:hAnsi="宋体" w:cs="宋体"/>
                <w:kern w:val="0"/>
                <w:sz w:val="20"/>
              </w:rPr>
              <w:t>车牌信息是否是预约中车辆</w:t>
            </w:r>
            <w:r>
              <w:rPr>
                <w:rFonts w:ascii="宋体" w:hAnsi="宋体" w:cs="宋体"/>
                <w:kern w:val="0"/>
                <w:sz w:val="20"/>
              </w:rPr>
              <w:t>或已进场车辆</w:t>
            </w:r>
            <w:r>
              <w:rPr>
                <w:rFonts w:hint="eastAsia" w:ascii="宋体" w:hAnsi="宋体" w:cs="宋体"/>
                <w:kern w:val="0"/>
                <w:sz w:val="20"/>
              </w:rPr>
              <w:t>，若已存在则弹框提示不可新增；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取消按钮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取消新增vip车辆操作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返回至上一页面（vip车位预约列表）</w:t>
            </w:r>
          </w:p>
        </w:tc>
      </w:tr>
    </w:tbl>
    <w:p>
      <w:pPr>
        <w:pStyle w:val="4"/>
        <w:ind w:firstLine="0"/>
        <w:jc w:val="center"/>
      </w:pPr>
      <w:r>
        <w:drawing>
          <wp:inline distT="0" distB="0" distL="0" distR="0">
            <wp:extent cx="5278120" cy="3004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drawing>
          <wp:inline distT="0" distB="0" distL="0" distR="0">
            <wp:extent cx="3350260" cy="2894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588" cy="29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13" w:name="_Toc530759884"/>
      <w:r>
        <w:rPr>
          <w:b w:val="0"/>
        </w:rPr>
        <w:t>1.1.</w:t>
      </w:r>
      <w:r>
        <w:rPr>
          <w:rFonts w:hint="eastAsia"/>
          <w:b w:val="0"/>
        </w:rPr>
        <w:t>3workgo消息推送</w:t>
      </w:r>
      <w:bookmarkEnd w:id="13"/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workgo消息推送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1、企业员工预约vip客户车辆后，车费缴纳员将收到workgo消息推送通知；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2、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客户车辆预约成功，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通过workgo推送消息提醒预约的用户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3、用户所预约的vip客户车辆进场时，通过workgo推送消息提醒预约的用户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4、企业员工取消vip客户车辆预约后，车费缴纳员将收到workgo的推送提醒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（预约未成功的，不需要消息推送）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5、车费缴纳员对vip车位预约信息拒绝授权后，企业员工将收到workgo消息提醒；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【企业员工】提示内容：您有一条新的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xxx 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车辆预约等待授权，请及时查看；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已经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预约成功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于于 2018年12月1日10点30分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到达园区，请您做好接待工作；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车辆预约失败，若有疑问请及时联系车费缴纳员确认；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【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员工】提示内容：您的xxx VIP客户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已经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取消预约，本次vip车辆预约服务费在预约取消后将原路退还，请注意查收；</w:t>
            </w:r>
          </w:p>
        </w:tc>
      </w:tr>
    </w:tbl>
    <w:p>
      <w:pPr>
        <w:pStyle w:val="4"/>
        <w:ind w:firstLine="0"/>
      </w:pPr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14" w:name="_Toc530759885"/>
      <w:r>
        <w:rPr>
          <w:b w:val="0"/>
        </w:rPr>
        <w:t>1.1.</w:t>
      </w:r>
      <w:r>
        <w:rPr>
          <w:rFonts w:hint="eastAsia"/>
          <w:b w:val="0"/>
        </w:rPr>
        <w:t>4取消预约</w:t>
      </w:r>
      <w:bookmarkEnd w:id="14"/>
    </w:p>
    <w:p>
      <w:pPr>
        <w:pStyle w:val="4"/>
        <w:ind w:left="220" w:firstLine="0"/>
        <w:rPr>
          <w:rFonts w:ascii="宋体" w:hAnsi="宋体" w:cs="宋体"/>
        </w:rPr>
      </w:pPr>
      <w:r>
        <w:rPr>
          <w:rFonts w:hint="eastAsia" w:ascii="宋体" w:hAnsi="宋体" w:cs="宋体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企业用户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取消预约</w:t>
            </w:r>
          </w:p>
        </w:tc>
      </w:tr>
      <w:tr>
        <w:tblPrEx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企业用户取消vip客户车辆的预约；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默认前一天17:00前预约的订单可取消（取消后自动退款或免费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体验时长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 xml:space="preserve">），当天预约订单不可取消； 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默认的取消截止时间可由园区管理员在园区管理中心设置；</w:t>
            </w:r>
          </w:p>
        </w:tc>
      </w:tr>
    </w:tbl>
    <w:p>
      <w:pPr>
        <w:pStyle w:val="4"/>
        <w:ind w:firstLine="220"/>
        <w:rPr>
          <w:rFonts w:ascii="宋体" w:hAnsi="宋体" w:cs="宋体"/>
        </w:rPr>
      </w:pPr>
    </w:p>
    <w:p>
      <w:pPr>
        <w:pStyle w:val="4"/>
        <w:ind w:firstLine="220"/>
      </w:pPr>
      <w:r>
        <w:rPr>
          <w:rFonts w:hint="eastAsia" w:ascii="宋体" w:hAnsi="宋体" w:cs="宋体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2142"/>
        <w:gridCol w:w="4575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2142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4575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取消预约</w:t>
            </w:r>
          </w:p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按钮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取消本次vip车辆的预约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文字显示为“取消预约”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取消确认</w:t>
            </w:r>
          </w:p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弹框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在有效时间内可以取消预约，跳出确认框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提示：是否确认取消本次vip车辆预约？（本次vip车辆预约服务费在预约取消后将原路退还）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取消无效</w:t>
            </w:r>
          </w:p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弹框</w:t>
            </w:r>
          </w:p>
        </w:tc>
        <w:tc>
          <w:tcPr>
            <w:tcW w:w="214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在非有效时间内取消预约，跳出取消无效框</w:t>
            </w:r>
          </w:p>
        </w:tc>
        <w:tc>
          <w:tcPr>
            <w:tcW w:w="457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提示：当前不在有效时间（默认预约时间前一天的17:00前）内，故不可以取消预约，若有其他问题，可以联系车费缴纳员进行处理</w:t>
            </w:r>
          </w:p>
        </w:tc>
      </w:tr>
    </w:tbl>
    <w:p>
      <w:pPr>
        <w:pStyle w:val="4"/>
        <w:ind w:firstLine="0"/>
        <w:jc w:val="left"/>
      </w:pPr>
      <w:r>
        <w:drawing>
          <wp:inline distT="0" distB="0" distL="0" distR="0">
            <wp:extent cx="1289050" cy="227457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625" cy="23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73195" cy="2265680"/>
            <wp:effectExtent l="0" t="0" r="825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27" cy="23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720" w:hanging="720"/>
      </w:pPr>
      <w:bookmarkStart w:id="15" w:name="_Toc530759886"/>
      <w:r>
        <w:rPr>
          <w:rFonts w:hint="eastAsia"/>
        </w:rPr>
        <w:t>1.2企业管理员</w:t>
      </w:r>
      <w:bookmarkEnd w:id="15"/>
    </w:p>
    <w:p>
      <w:pPr>
        <w:pStyle w:val="4"/>
        <w:numPr>
          <w:ilvl w:val="0"/>
          <w:numId w:val="8"/>
        </w:numPr>
        <w:ind w:firstLine="0"/>
      </w:pPr>
      <w:r>
        <w:rPr>
          <w:rFonts w:hint="eastAsia"/>
        </w:rPr>
        <w:t>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企业管理员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设置车费缴纳员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（我的企业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-服务管理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模块）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新增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车费</w:t>
            </w:r>
            <w:r>
              <w:rPr>
                <w:rFonts w:hint="eastAsia"/>
                <w:kern w:val="0"/>
                <w:sz w:val="20"/>
              </w:rPr>
              <w:t>缴纳员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管理模块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，企业管理员通过添加手机号的方式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设置车费</w:t>
            </w:r>
            <w:r>
              <w:rPr>
                <w:rFonts w:hint="eastAsia"/>
                <w:kern w:val="0"/>
                <w:sz w:val="20"/>
              </w:rPr>
              <w:t>缴纳员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若企业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没有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设置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缴纳员则该企业员工无法使用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vip客户车辆预约的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功能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当企业没有该功能的使用权限时，页面提示用户“当前无法使用该功能，请联系企业管理员设置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缴纳员”；每个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企业车费缴纳员数量不设上限；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企业管理员也可将自己设置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为车费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缴纳员；</w:t>
            </w:r>
          </w:p>
        </w:tc>
      </w:tr>
    </w:tbl>
    <w:p>
      <w:pPr>
        <w:pStyle w:val="4"/>
        <w:ind w:firstLine="0"/>
      </w:pPr>
    </w:p>
    <w:p>
      <w:pPr>
        <w:pStyle w:val="4"/>
        <w:numPr>
          <w:ilvl w:val="0"/>
          <w:numId w:val="8"/>
        </w:numPr>
        <w:ind w:firstLine="0"/>
      </w:pPr>
      <w:r>
        <w:rPr>
          <w:rFonts w:hint="eastAsia"/>
        </w:rPr>
        <w:t>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602"/>
        <w:gridCol w:w="3115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602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115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显示已添加的车费缴纳员的手机号和姓名；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新增按钮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点击新增按钮出现弹框，输入新的缴纳员的手机号，保存则添加成功；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新增的手机号不可重复，并且该账号为该园区该企业的员工账号；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删除按钮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删除已添加的车费缴纳员；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删除有二次弹框确认；</w:t>
            </w:r>
          </w:p>
        </w:tc>
      </w:tr>
    </w:tbl>
    <w:p>
      <w:pPr>
        <w:pStyle w:val="4"/>
        <w:ind w:firstLine="0"/>
        <w:jc w:val="center"/>
      </w:pPr>
      <w:r>
        <w:drawing>
          <wp:inline distT="0" distB="0" distL="0" distR="0">
            <wp:extent cx="4276725" cy="24244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318" cy="24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720" w:hanging="720"/>
      </w:pPr>
      <w:bookmarkStart w:id="16" w:name="_Toc530759887"/>
      <w:r>
        <w:rPr>
          <w:rFonts w:hint="eastAsia"/>
        </w:rPr>
        <w:t>1.3车费缴纳员</w:t>
      </w:r>
      <w:bookmarkEnd w:id="16"/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17" w:name="_Toc530759888"/>
      <w:r>
        <w:rPr>
          <w:rFonts w:hint="eastAsia"/>
          <w:b w:val="0"/>
        </w:rPr>
        <w:t>1.3.1</w:t>
      </w:r>
      <w:r>
        <w:rPr>
          <w:rFonts w:ascii="宋体" w:hAnsi="宋体" w:cs="宋体"/>
          <w:b w:val="0"/>
          <w:kern w:val="0"/>
          <w:sz w:val="20"/>
          <w:szCs w:val="21"/>
        </w:rPr>
        <w:t>vip客户车辆</w:t>
      </w:r>
      <w:r>
        <w:rPr>
          <w:rFonts w:hint="eastAsia" w:ascii="宋体" w:hAnsi="宋体" w:cs="宋体"/>
          <w:b w:val="0"/>
          <w:kern w:val="0"/>
          <w:sz w:val="20"/>
          <w:szCs w:val="21"/>
        </w:rPr>
        <w:t>授权</w:t>
      </w:r>
      <w:bookmarkEnd w:id="17"/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车费缴纳员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vip客户车辆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授权</w:t>
            </w:r>
          </w:p>
        </w:tc>
      </w:tr>
      <w:tr>
        <w:tblPrEx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1、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车费缴纳员在workgo消息推送中可通过点击消息详情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进行授权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，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授权成功则需要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完成预约服务费的缴纳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，拒绝授权则此次预约失效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  <w:p>
            <w:pPr>
              <w:pStyle w:val="4"/>
              <w:ind w:firstLine="0"/>
              <w:rPr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2、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在（我的企业-服务管理模块）查看该企业员工申请预约vip客户车辆的列表信息，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授权成功则需要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完成预约服务费的缴纳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，拒绝授权则此次预约失效；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预约申请列表分为3个维度：申请列表、当日到访、超时订单；可以在申请列表对车辆进行授权，点击列表可以查看v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车辆预约详情；在超时订单列表对超时订单进行补缴车费；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若园区为企业提供免费时长，则优先使用免费时间，预约服务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为0元；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拒绝授权需要弹框二次确认：是否拒绝此次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客户车辆预定车位申请？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vip客户车辆列表信息按照该企业员工申请预约的时间正序排列；</w:t>
            </w:r>
          </w:p>
        </w:tc>
      </w:tr>
    </w:tbl>
    <w:p>
      <w:pPr>
        <w:pStyle w:val="4"/>
        <w:ind w:firstLine="0"/>
      </w:pPr>
    </w:p>
    <w:p>
      <w:pPr>
        <w:pStyle w:val="4"/>
        <w:numPr>
          <w:ilvl w:val="0"/>
          <w:numId w:val="8"/>
        </w:numPr>
        <w:ind w:firstLine="0"/>
      </w:pPr>
      <w:r>
        <w:rPr>
          <w:rFonts w:hint="eastAsia"/>
        </w:rPr>
        <w:t>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1729"/>
        <w:gridCol w:w="4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1729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498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文字显示为“车牌”；数据从新增vip车辆信息处获取；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</w:rPr>
              <w:t>显示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文字显示为“客户姓名”；数据从新增vip车辆信息处获取；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文字显示为“预约时间”；数据从新增vip车辆信息处获取；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文字显示为“预约人”，即提交预约信息的人；数据从新增vip车辆信息处获取；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文字显示为“预约服务费”；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支付按钮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授权通过并支付预约服务费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文字显示为“授权并支付”，判断此处有免费停车时长，则此处不收取服务费；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拒绝按钮</w:t>
            </w:r>
          </w:p>
        </w:tc>
        <w:tc>
          <w:tcPr>
            <w:tcW w:w="1729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拒绝本次vip车辆预约授权</w:t>
            </w:r>
          </w:p>
        </w:tc>
        <w:tc>
          <w:tcPr>
            <w:tcW w:w="498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文字显示为“拒绝授权”，拒绝以后申请的员工收到workgo消息提醒；</w:t>
            </w:r>
          </w:p>
        </w:tc>
      </w:tr>
    </w:tbl>
    <w:p>
      <w:pPr>
        <w:pStyle w:val="4"/>
        <w:ind w:firstLine="0"/>
        <w:jc w:val="center"/>
      </w:pPr>
      <w:r>
        <w:drawing>
          <wp:inline distT="0" distB="0" distL="0" distR="0">
            <wp:extent cx="4344670" cy="25285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188" cy="25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13180" cy="227520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7682" cy="22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61110" cy="22409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406" cy="22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18" w:name="_Toc530759889"/>
      <w:r>
        <w:rPr>
          <w:b w:val="0"/>
        </w:rPr>
        <w:t>1.</w:t>
      </w:r>
      <w:r>
        <w:rPr>
          <w:rFonts w:hint="eastAsia"/>
          <w:b w:val="0"/>
        </w:rPr>
        <w:t>3.2</w:t>
      </w:r>
      <w:r>
        <w:rPr>
          <w:rFonts w:hint="eastAsia" w:ascii="宋体" w:hAnsi="宋体" w:cs="宋体"/>
          <w:b w:val="0"/>
          <w:kern w:val="0"/>
          <w:sz w:val="20"/>
          <w:szCs w:val="21"/>
        </w:rPr>
        <w:t>补缴服务费</w:t>
      </w:r>
      <w:bookmarkEnd w:id="18"/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车费缴纳员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车费补缴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车辆离场时，根据停车时长计算其停车费用，若超出预约服务费，则需要补缴费用后才具备新增vip客户车位的权限；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若超过服务费，此次vip车辆仍然可以正常出场；</w:t>
            </w:r>
          </w:p>
        </w:tc>
      </w:tr>
    </w:tbl>
    <w:p>
      <w:pPr>
        <w:pStyle w:val="4"/>
        <w:ind w:firstLine="0"/>
      </w:pPr>
      <w:r>
        <w:rPr>
          <w:rFonts w:hint="eastAsia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602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602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115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当服务费不足停车费时，显示当前车辆的车牌号；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文字显示为“车牌”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显示车辆的客户姓名；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文字显示为“客户姓名”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显示车辆的进场时间；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文字显示为“进场时间”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显示车辆的出场时间；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文字显示为“出场时间”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显示车辆超出时长；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文字显示位“超出时长”，根据车辆进出场时间以及预约时间，计算出停车超出的时长，需要补缴这部分的停车费；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显示车辆当前欠费金额；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文字显示为“当前欠费”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支付按钮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支付欠费金额；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文字显示为“确认支付”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取消按钮</w:t>
            </w:r>
          </w:p>
        </w:tc>
        <w:tc>
          <w:tcPr>
            <w:tcW w:w="3602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取消当前操作，返回上一界面；</w:t>
            </w:r>
          </w:p>
        </w:tc>
        <w:tc>
          <w:tcPr>
            <w:tcW w:w="3115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文字显示为“取消”</w:t>
            </w:r>
          </w:p>
        </w:tc>
      </w:tr>
    </w:tbl>
    <w:p>
      <w:pPr>
        <w:pStyle w:val="4"/>
        <w:ind w:firstLine="0"/>
      </w:pPr>
    </w:p>
    <w:p>
      <w:pPr>
        <w:pStyle w:val="4"/>
        <w:ind w:firstLine="0"/>
        <w:jc w:val="center"/>
      </w:pPr>
      <w:r>
        <w:drawing>
          <wp:inline distT="0" distB="0" distL="0" distR="0">
            <wp:extent cx="2933700" cy="2526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820" cy="25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19" w:name="_Toc530759890"/>
      <w:r>
        <w:rPr>
          <w:b w:val="0"/>
          <w:highlight w:val="yellow"/>
        </w:rPr>
        <w:t>1.</w:t>
      </w:r>
      <w:r>
        <w:rPr>
          <w:rFonts w:hint="eastAsia"/>
          <w:b w:val="0"/>
          <w:highlight w:val="yellow"/>
        </w:rPr>
        <w:t>3.3历史</w:t>
      </w:r>
      <w:bookmarkEnd w:id="19"/>
      <w:r>
        <w:rPr>
          <w:rFonts w:hint="eastAsia"/>
          <w:b w:val="0"/>
          <w:highlight w:val="yellow"/>
        </w:rPr>
        <w:t>订单</w:t>
      </w:r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APP端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车费缴纳员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历史订单</w:t>
            </w:r>
          </w:p>
        </w:tc>
      </w:tr>
      <w:tr>
        <w:tblPrEx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车费缴纳员可以查看该企业下所有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已缴费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的vip客户车辆订单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及订单详情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信息，按照时间维度可筛查并查看详情；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历史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订单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可按照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日/月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份报表的形式下载导出；</w:t>
            </w:r>
          </w:p>
        </w:tc>
      </w:tr>
    </w:tbl>
    <w:p>
      <w:pPr>
        <w:pStyle w:val="4"/>
        <w:ind w:firstLine="0"/>
      </w:pPr>
    </w:p>
    <w:p>
      <w:pPr>
        <w:pStyle w:val="4"/>
        <w:numPr>
          <w:ilvl w:val="0"/>
          <w:numId w:val="9"/>
        </w:numPr>
      </w:pPr>
      <w:r>
        <w:rPr>
          <w:rFonts w:hint="eastAsia"/>
        </w:rPr>
        <w:t>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2013"/>
        <w:gridCol w:w="4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2013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4704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201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</w:t>
            </w:r>
            <w:r>
              <w:rPr>
                <w:rFonts w:ascii="宋体" w:hAnsi="宋体" w:cs="宋体"/>
                <w:kern w:val="0"/>
                <w:sz w:val="20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</w:rPr>
              <w:t>客户车牌号</w:t>
            </w:r>
          </w:p>
        </w:tc>
        <w:tc>
          <w:tcPr>
            <w:tcW w:w="4704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文字显示为“车牌”；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201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显示订单时间</w:t>
            </w:r>
          </w:p>
        </w:tc>
        <w:tc>
          <w:tcPr>
            <w:tcW w:w="4704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文字显示为“订单时间”，即授权支付的时间，时间格式为：2018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12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0113：23；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201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显示预约服务费</w:t>
            </w:r>
          </w:p>
        </w:tc>
        <w:tc>
          <w:tcPr>
            <w:tcW w:w="4704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文字显示为“预约服务费”；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2013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显示订单状态</w:t>
            </w:r>
          </w:p>
        </w:tc>
        <w:tc>
          <w:tcPr>
            <w:tcW w:w="4704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正常订单则不显示，已退款的订单显示“已退款”；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筛选条件</w:t>
            </w:r>
          </w:p>
        </w:tc>
        <w:tc>
          <w:tcPr>
            <w:tcW w:w="2013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筛选历史订单</w:t>
            </w:r>
          </w:p>
        </w:tc>
        <w:tc>
          <w:tcPr>
            <w:tcW w:w="4704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根据全部、月，对历史订单进行条件筛选；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发送邮箱</w:t>
            </w:r>
          </w:p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按钮</w:t>
            </w:r>
          </w:p>
        </w:tc>
        <w:tc>
          <w:tcPr>
            <w:tcW w:w="2013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导出历史订单excel表，发送至指定邮箱</w:t>
            </w:r>
          </w:p>
        </w:tc>
        <w:tc>
          <w:tcPr>
            <w:tcW w:w="4704" w:type="dxa"/>
            <w:shd w:val="clear" w:color="auto" w:fill="FFFFFF" w:themeFill="background1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点击发送邮箱按钮，输入邮箱账号，点击发送，则发送至该指定邮箱，若发送成功，则显示“订单发送成功”；</w:t>
            </w:r>
          </w:p>
        </w:tc>
      </w:tr>
    </w:tbl>
    <w:p>
      <w:pPr>
        <w:pStyle w:val="4"/>
        <w:ind w:firstLine="0"/>
      </w:pPr>
      <w:r>
        <w:drawing>
          <wp:inline distT="0" distB="0" distL="0" distR="0">
            <wp:extent cx="5278120" cy="2274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drawing>
          <wp:inline distT="0" distB="0" distL="0" distR="0">
            <wp:extent cx="5278120" cy="22536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720" w:hanging="720"/>
      </w:pPr>
      <w:bookmarkStart w:id="20" w:name="_Toc530759891"/>
      <w:r>
        <w:rPr>
          <w:rFonts w:hint="eastAsia"/>
        </w:rPr>
        <w:t>1.4 电子屏展示</w:t>
      </w:r>
      <w:bookmarkEnd w:id="20"/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电子屏端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保安、收费员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vip客户车辆进场提醒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1、电子屏展示当天该园区所有vip客户车辆预约信息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：车牌号码、到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访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企业、预约时间、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状态：未进场、进场、已离场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（按照时间正序排列显示当日列表）</w:t>
            </w:r>
          </w:p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2、当vip车辆进场时，电子屏展示当前车辆信息：车牌号、客户姓名、到访企业；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硬件选型10寸pad屏幕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；当v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车辆进出场时，需要语音提示保安或收费员；车辆到达时电子屏展示vip客户车辆信息只可以手动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关闭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页面；</w:t>
            </w:r>
          </w:p>
          <w:p>
            <w:pPr>
              <w:pStyle w:val="4"/>
              <w:tabs>
                <w:tab w:val="left" w:pos="315"/>
              </w:tabs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若多辆同时进场，则同屏展示多个车辆信息；vip车辆列表信息按照预约时间正序排列；</w:t>
            </w:r>
          </w:p>
        </w:tc>
      </w:tr>
    </w:tbl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101"/>
        <w:gridCol w:w="3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101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616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显示vip车辆的车牌号码信息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文字显示为“车牌号码”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显示vip车辆的客户姓名信息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文字显示为“车主姓名”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显示vip车辆的到访企业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文字显示为“到访企业”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显示vip车辆预约时间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文字显示为“预约时间”，格式为：2018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12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0113：00-15：00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显示vip车辆状态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文字显示为“状态”，分为：未进场/进场/已离场</w:t>
            </w:r>
          </w:p>
        </w:tc>
      </w:tr>
    </w:tbl>
    <w:p>
      <w:pPr>
        <w:pStyle w:val="4"/>
        <w:ind w:firstLine="0"/>
      </w:pP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101"/>
        <w:gridCol w:w="3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101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616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显示vip车辆的车牌号码信息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文字显示为“VIP客户车辆”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显示vip车辆的客户姓名信息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文字显示为“客户姓名”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显示vip车辆的邀请企业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文字显示为“到访公司”</w:t>
            </w:r>
          </w:p>
        </w:tc>
      </w:tr>
    </w:tbl>
    <w:p>
      <w:pPr>
        <w:pStyle w:val="4"/>
        <w:ind w:firstLine="0"/>
        <w:jc w:val="center"/>
      </w:pPr>
    </w:p>
    <w:p>
      <w:pPr>
        <w:pStyle w:val="4"/>
        <w:ind w:firstLine="0"/>
        <w:jc w:val="center"/>
      </w:pPr>
      <w:r>
        <w:drawing>
          <wp:inline distT="0" distB="0" distL="0" distR="0">
            <wp:extent cx="5356860" cy="33483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463" cy="334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drawing>
          <wp:inline distT="0" distB="0" distL="0" distR="0">
            <wp:extent cx="5354320" cy="33464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281" cy="33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drawing>
          <wp:inline distT="0" distB="0" distL="0" distR="0">
            <wp:extent cx="5045075" cy="3153410"/>
            <wp:effectExtent l="0" t="0" r="317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721" cy="315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0"/>
        <w:jc w:val="center"/>
      </w:pPr>
      <w:r>
        <w:drawing>
          <wp:inline distT="0" distB="0" distL="0" distR="0">
            <wp:extent cx="5064760" cy="3165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315" cy="317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6"/>
        <w:numPr>
          <w:ilvl w:val="0"/>
          <w:numId w:val="0"/>
        </w:numPr>
        <w:ind w:left="720" w:hanging="720"/>
      </w:pPr>
      <w:bookmarkStart w:id="21" w:name="_Toc530759892"/>
      <w:r>
        <w:rPr>
          <w:rFonts w:hint="eastAsia"/>
        </w:rPr>
        <w:t>1.5园区管理中心</w:t>
      </w:r>
      <w:bookmarkEnd w:id="21"/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bookmarkStart w:id="22" w:name="_Toc530759893"/>
      <w:r>
        <w:rPr>
          <w:rFonts w:hint="eastAsia"/>
          <w:b w:val="0"/>
        </w:rPr>
        <w:t>1.5.1</w:t>
      </w:r>
      <w:r>
        <w:rPr>
          <w:b w:val="0"/>
        </w:rPr>
        <w:t>vip</w:t>
      </w:r>
      <w:r>
        <w:rPr>
          <w:rFonts w:hint="eastAsia"/>
          <w:b w:val="0"/>
        </w:rPr>
        <w:t>车位设置</w:t>
      </w:r>
      <w:bookmarkEnd w:id="22"/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P</w:t>
            </w:r>
            <w:r>
              <w:rPr>
                <w:rFonts w:ascii="宋体" w:hAnsi="宋体" w:cs="宋体"/>
                <w:bCs/>
                <w:kern w:val="0"/>
                <w:sz w:val="20"/>
              </w:rPr>
              <w:t>C</w:t>
            </w:r>
            <w:r>
              <w:rPr>
                <w:rFonts w:hint="eastAsia" w:ascii="宋体" w:hAnsi="宋体" w:cs="宋体"/>
                <w:bCs/>
                <w:kern w:val="0"/>
                <w:sz w:val="20"/>
              </w:rPr>
              <w:t>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园区管理员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vip车位设置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园区管理员可以通过管理后台设置该园区的vip车位数量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（个）、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企业可使用的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免费体验时长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（x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小时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/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、预约服务费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（x元/小时）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有效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预留时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长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（前后x小时）、取消订单时间；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【免费体验时长】园区管理员可以统一设置该园区每家企业的免费停车时长，当免费体验时长为0的时候，则设置没有免费体验时长，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所有预约车辆需要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收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取相应的服务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费；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【vip车位数量】该园区预留的vip车位数量，预定车位的时候若车位数量为0，则提示企业员工：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“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当前时段vip客户车位数量不足，请更换时间段进行预约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”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【预约服务费】一个车位一个小时预约的服务费，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当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取消预约的时候，该服务费退回至原账户；</w:t>
            </w:r>
          </w:p>
          <w:p>
            <w:pPr>
              <w:pStyle w:val="4"/>
              <w:ind w:firstLine="0"/>
              <w:jc w:val="left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【有效预留时长】预留时间段由园区管理员在园区管理中心设置；当设置为1小时的时候，预定时间向前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、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向后推一个小时，如：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企业员工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约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时间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为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下午13：00-15：00，则实际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园区为该车辆保留的有效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预约时间为12：00-16：00；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并以此作为有效时间进行判断；</w:t>
            </w:r>
          </w:p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【取消订单时间】取消预约需要在有效时间（预约开始时间-预约截止时间），预约截止时间由企业园区管理员设置，默认前一天的17：00前；当天预约的车辆不可以取消；</w:t>
            </w:r>
          </w:p>
        </w:tc>
      </w:tr>
    </w:tbl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101"/>
        <w:gridCol w:w="3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101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616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输入免费体验时长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文字显示为“免费体验时长”，园区管理员可以统一设置该园区每家企业的免费停车时长，当免费时长为0的时候，则设置没有免费停车时长，都要收费；免费停车时长只针对预约服务费；时长只可以为正整数；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输入vip车位数量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文字显示为“vip车位数量”，该园区预留的vip车位数量；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输入预约服务费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文字显示为“预约服务费”，一个车位一个小时预约的服务费，在取消预约的时候，该服务费退回至原账户；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输入有效预留时长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有效预留时长”，当设置为1小时的时候，预定时间向前或向后推一个小时，比如：预定时间下午13：00-15：00，预留时间为向前向后1小时，则此车位的实际预约时间为12：00-16：00；时长只可以为正整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输入取消订单时间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文字显示为“取消订单时间”，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取消预约需要在有效时间（预约开始时间-预约截止时间），预约截止时间由企业园区管理员设置，默认前一天的17：00前；当天预约的车辆不可以取消，并且预约截止时间默认只能是预定的前一天；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保存按钮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保存当前页面设置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重置按钮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修改当前页面设置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</w:p>
        </w:tc>
      </w:tr>
    </w:tbl>
    <w:p>
      <w:pPr>
        <w:pStyle w:val="4"/>
        <w:ind w:firstLine="0"/>
        <w:jc w:val="center"/>
      </w:pPr>
      <w:bookmarkStart w:id="23" w:name="_Toc530759894"/>
      <w:r>
        <w:drawing>
          <wp:inline distT="0" distB="0" distL="0" distR="0">
            <wp:extent cx="5312410" cy="34137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593" cy="34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864" w:hanging="864"/>
        <w:rPr>
          <w:b w:val="0"/>
        </w:rPr>
      </w:pPr>
      <w:r>
        <w:rPr>
          <w:rFonts w:hint="eastAsia"/>
          <w:b w:val="0"/>
        </w:rPr>
        <w:t>1.5.2</w:t>
      </w:r>
      <w:r>
        <w:rPr>
          <w:b w:val="0"/>
        </w:rPr>
        <w:t>vip</w:t>
      </w:r>
      <w:r>
        <w:rPr>
          <w:rFonts w:hint="eastAsia"/>
          <w:b w:val="0"/>
        </w:rPr>
        <w:t>车辆历史</w:t>
      </w:r>
      <w:bookmarkEnd w:id="23"/>
      <w:r>
        <w:rPr>
          <w:rFonts w:hint="eastAsia"/>
          <w:b w:val="0"/>
        </w:rPr>
        <w:t>订单</w:t>
      </w:r>
    </w:p>
    <w:p>
      <w:pPr>
        <w:pStyle w:val="4"/>
        <w:ind w:firstLine="0"/>
      </w:pPr>
      <w:r>
        <w:rPr>
          <w:rFonts w:hint="eastAsia"/>
        </w:rPr>
        <w:t>1、需求说明</w:t>
      </w:r>
    </w:p>
    <w:tbl>
      <w:tblPr>
        <w:tblStyle w:val="26"/>
        <w:tblW w:w="8011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6683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端口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P</w:t>
            </w:r>
            <w:r>
              <w:rPr>
                <w:rFonts w:ascii="宋体" w:hAnsi="宋体" w:cs="宋体"/>
                <w:bCs/>
                <w:kern w:val="0"/>
                <w:sz w:val="20"/>
              </w:rPr>
              <w:t>C</w:t>
            </w:r>
            <w:r>
              <w:rPr>
                <w:rFonts w:hint="eastAsia" w:ascii="宋体" w:hAnsi="宋体" w:cs="宋体"/>
                <w:bCs/>
                <w:kern w:val="0"/>
                <w:sz w:val="20"/>
              </w:rPr>
              <w:t>端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用户角色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园区管理员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模块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kern w:val="0"/>
                <w:sz w:val="20"/>
              </w:rPr>
              <w:t>v</w:t>
            </w:r>
            <w:r>
              <w:rPr>
                <w:rFonts w:hint="eastAsia"/>
                <w:kern w:val="0"/>
                <w:sz w:val="20"/>
              </w:rPr>
              <w:t>ip车辆历史订单</w:t>
            </w:r>
          </w:p>
        </w:tc>
      </w:tr>
      <w:tr>
        <w:tblPrEx>
          <w:tblLayout w:type="fixed"/>
        </w:tblPrEx>
        <w:trPr>
          <w:trHeight w:val="369" w:hRule="atLeast"/>
        </w:trPr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功能描述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园区管理员可以查询当前园区所有企业预定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vip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车位的历史订单，可按照订单列表展示并查看详情，根据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时间维度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和企业维度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可筛查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信息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hint="eastAsia" w:ascii="宋体" w:hAnsi="宋体" w:cs="宋体"/>
                <w:bCs/>
                <w:kern w:val="0"/>
                <w:sz w:val="20"/>
              </w:rPr>
              <w:t>备注</w:t>
            </w:r>
          </w:p>
        </w:tc>
        <w:tc>
          <w:tcPr>
            <w:tcW w:w="6683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bCs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历史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订单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可按照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日/月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份报表的形式下载导出；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页面默认展示当月的vip车辆预约订单，按照预定时间倒序排列；</w:t>
            </w:r>
          </w:p>
        </w:tc>
      </w:tr>
    </w:tbl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2、界面说明</w:t>
      </w:r>
    </w:p>
    <w:tbl>
      <w:tblPr>
        <w:tblStyle w:val="26"/>
        <w:tblW w:w="8045" w:type="dxa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3101"/>
        <w:gridCol w:w="3616"/>
      </w:tblGrid>
      <w:tr>
        <w:tblPrEx>
          <w:tblLayout w:type="fixed"/>
        </w:tblPrEx>
        <w:tc>
          <w:tcPr>
            <w:tcW w:w="1328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界面元素</w:t>
            </w:r>
          </w:p>
        </w:tc>
        <w:tc>
          <w:tcPr>
            <w:tcW w:w="3101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操作说明</w:t>
            </w:r>
          </w:p>
        </w:tc>
        <w:tc>
          <w:tcPr>
            <w:tcW w:w="3616" w:type="dxa"/>
            <w:shd w:val="clear" w:color="auto" w:fill="D7D7D7" w:themeFill="background1" w:themeFillShade="D8"/>
            <w:vAlign w:val="center"/>
          </w:tcPr>
          <w:p>
            <w:pPr>
              <w:pStyle w:val="4"/>
              <w:ind w:firstLine="0"/>
              <w:jc w:val="center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备注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显示vip车辆的车牌号码信息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文字显示为“车牌号”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显示vip车辆的客户姓名信息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文字显示为“客户姓名”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显示vip客户的手机号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文字显示为“客户手机号”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显示vip车辆的到访企业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文字显示为“到访企业”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显示vip车辆预约时间段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文字显示为“预约时间段”，格式为：2018-12-0113：00-15：00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显示vip车辆进出场时间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文字显示为“进出场时间”，2018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12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0113：00-2018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12</w:t>
            </w:r>
            <w:r>
              <w:rPr>
                <w:rFonts w:ascii="宋体" w:hAnsi="宋体" w:cs="宋体"/>
                <w:kern w:val="0"/>
                <w:sz w:val="20"/>
              </w:rPr>
              <w:t>.</w:t>
            </w:r>
            <w:r>
              <w:rPr>
                <w:rFonts w:hint="eastAsia" w:ascii="宋体" w:hAnsi="宋体" w:cs="宋体"/>
                <w:kern w:val="0"/>
                <w:sz w:val="20"/>
              </w:rPr>
              <w:t>0113：00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显示本次订单金额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文字显示为“订单金额”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显示本次预约费的缴费人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文字显示为“缴费人”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文本框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显示本次预约费的缴费时间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文字显示为“缴费时间”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firstLine="200" w:firstLineChars="10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导出按钮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ascii="宋体" w:hAnsi="宋体" w:cs="宋体"/>
                <w:kern w:val="0"/>
                <w:sz w:val="20"/>
                <w:szCs w:val="21"/>
              </w:rPr>
              <w:t>历史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订单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可按照</w:t>
            </w: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日/月</w:t>
            </w:r>
            <w:r>
              <w:rPr>
                <w:rFonts w:ascii="宋体" w:hAnsi="宋体" w:cs="宋体"/>
                <w:kern w:val="0"/>
                <w:sz w:val="20"/>
                <w:szCs w:val="21"/>
              </w:rPr>
              <w:t>份报表的形式下载导出；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文字显示为“导出”，以excel表的形式保存至本地</w:t>
            </w:r>
          </w:p>
        </w:tc>
      </w:tr>
      <w:tr>
        <w:tblPrEx>
          <w:tblLayout w:type="fixed"/>
        </w:tblPrEx>
        <w:tc>
          <w:tcPr>
            <w:tcW w:w="1328" w:type="dxa"/>
            <w:shd w:val="clear" w:color="auto" w:fill="FFFFFF" w:themeFill="background1"/>
            <w:vAlign w:val="center"/>
          </w:tcPr>
          <w:p>
            <w:pPr>
              <w:pStyle w:val="4"/>
              <w:ind w:left="210" w:leftChars="100"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筛选查询按钮</w:t>
            </w:r>
          </w:p>
        </w:tc>
        <w:tc>
          <w:tcPr>
            <w:tcW w:w="3101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1"/>
              </w:rPr>
              <w:t>可以根据时间和企业维度对历史订单进行筛选；</w:t>
            </w:r>
          </w:p>
        </w:tc>
        <w:tc>
          <w:tcPr>
            <w:tcW w:w="3616" w:type="dxa"/>
            <w:shd w:val="clear" w:color="auto" w:fill="FFFFFF" w:themeFill="background1"/>
            <w:vAlign w:val="center"/>
          </w:tcPr>
          <w:p>
            <w:pPr>
              <w:pStyle w:val="4"/>
              <w:ind w:firstLine="0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hint="eastAsia" w:ascii="宋体" w:hAnsi="宋体" w:cs="宋体"/>
                <w:kern w:val="0"/>
                <w:sz w:val="20"/>
              </w:rPr>
              <w:t>输入企业名称进行模糊搜索，筛选条件按照倒序排列</w:t>
            </w:r>
          </w:p>
        </w:tc>
      </w:tr>
    </w:tbl>
    <w:p>
      <w:pPr>
        <w:pStyle w:val="4"/>
        <w:ind w:firstLine="0"/>
      </w:pPr>
      <w:r>
        <w:drawing>
          <wp:inline distT="0" distB="0" distL="0" distR="0">
            <wp:extent cx="5278120" cy="33655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tabs>
          <w:tab w:val="clear" w:pos="574"/>
        </w:tabs>
        <w:rPr>
          <w:rFonts w:cs="宋体"/>
          <w:sz w:val="24"/>
          <w:szCs w:val="24"/>
        </w:rPr>
      </w:pPr>
      <w:bookmarkStart w:id="24" w:name="_Toc530759895"/>
      <w:r>
        <w:rPr>
          <w:rFonts w:hint="eastAsia" w:cs="宋体"/>
          <w:sz w:val="24"/>
          <w:szCs w:val="24"/>
        </w:rPr>
        <w:t>非功能性需求</w:t>
      </w:r>
      <w:bookmarkEnd w:id="24"/>
    </w:p>
    <w:p>
      <w:pPr>
        <w:pStyle w:val="6"/>
        <w:numPr>
          <w:ilvl w:val="1"/>
          <w:numId w:val="5"/>
        </w:numPr>
        <w:rPr>
          <w:rFonts w:ascii="宋体" w:hAnsi="宋体" w:eastAsia="宋体" w:cs="宋体"/>
          <w:b w:val="0"/>
          <w:bCs/>
        </w:rPr>
      </w:pPr>
      <w:bookmarkStart w:id="25" w:name="_Toc530759896"/>
      <w:r>
        <w:rPr>
          <w:rFonts w:hint="eastAsia" w:ascii="宋体" w:hAnsi="宋体" w:eastAsia="宋体" w:cs="宋体"/>
          <w:b w:val="0"/>
          <w:bCs/>
        </w:rPr>
        <w:t>兼容性需求</w:t>
      </w:r>
      <w:bookmarkEnd w:id="25"/>
    </w:p>
    <w:p>
      <w:pPr>
        <w:pStyle w:val="4"/>
        <w:numPr>
          <w:ilvl w:val="0"/>
          <w:numId w:val="10"/>
        </w:numPr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系统应支持IOS，Android操作系统；</w:t>
      </w:r>
    </w:p>
    <w:p>
      <w:pPr>
        <w:pStyle w:val="4"/>
        <w:numPr>
          <w:ilvl w:val="0"/>
          <w:numId w:val="10"/>
        </w:numPr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系统应支持Oracle, DB2 数据库系统。</w:t>
      </w:r>
    </w:p>
    <w:p>
      <w:pPr>
        <w:pStyle w:val="6"/>
        <w:numPr>
          <w:ilvl w:val="1"/>
          <w:numId w:val="5"/>
        </w:numPr>
        <w:rPr>
          <w:rFonts w:ascii="宋体" w:hAnsi="宋体" w:eastAsia="宋体" w:cs="宋体"/>
          <w:b w:val="0"/>
          <w:bCs/>
        </w:rPr>
      </w:pPr>
      <w:bookmarkStart w:id="26" w:name="_Toc530759897"/>
      <w:r>
        <w:rPr>
          <w:rFonts w:hint="eastAsia" w:ascii="宋体" w:hAnsi="宋体" w:eastAsia="宋体" w:cs="宋体"/>
          <w:b w:val="0"/>
          <w:bCs/>
        </w:rPr>
        <w:t>性能需求</w:t>
      </w:r>
      <w:bookmarkEnd w:id="26"/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1、网络正常时，页面打开速度限制在3秒以内；</w:t>
      </w:r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2、网络正常时，车辆到达园区到接收到短信通知限制在1分钟内；</w:t>
      </w:r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3、网络正常时，页面点击操作反应时间限制在3秒以内。</w:t>
      </w:r>
    </w:p>
    <w:p>
      <w:pPr>
        <w:pStyle w:val="6"/>
        <w:numPr>
          <w:ilvl w:val="1"/>
          <w:numId w:val="5"/>
        </w:numPr>
        <w:rPr>
          <w:rFonts w:ascii="宋体" w:hAnsi="宋体" w:eastAsia="宋体" w:cs="宋体"/>
          <w:b w:val="0"/>
          <w:bCs/>
        </w:rPr>
      </w:pPr>
      <w:bookmarkStart w:id="27" w:name="_Toc530759898"/>
      <w:r>
        <w:rPr>
          <w:rFonts w:hint="eastAsia" w:ascii="宋体" w:hAnsi="宋体" w:eastAsia="宋体" w:cs="宋体"/>
          <w:b w:val="0"/>
          <w:bCs/>
        </w:rPr>
        <w:t>安全需求</w:t>
      </w:r>
      <w:bookmarkEnd w:id="27"/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1、系统间接口交互时，用户名和密码需采用MD5加密算法；</w:t>
      </w:r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2、网络传递数据应经过加密。需要保证数据在采集、传输和处理过程中不被偷窥、窃取、</w:t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 xml:space="preserve"> 篡改。业务数据需要在存储时进行加密，确保不可破解；</w:t>
      </w:r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3、提供运行日志管理及安全审计功能，可追踪系统的历史使用情况。</w:t>
      </w:r>
    </w:p>
    <w:p>
      <w:pPr>
        <w:pStyle w:val="6"/>
        <w:numPr>
          <w:ilvl w:val="1"/>
          <w:numId w:val="5"/>
        </w:numPr>
        <w:rPr>
          <w:rFonts w:ascii="宋体" w:hAnsi="宋体" w:eastAsia="宋体" w:cs="宋体"/>
          <w:b w:val="0"/>
          <w:bCs/>
        </w:rPr>
      </w:pPr>
      <w:bookmarkStart w:id="28" w:name="_Toc530759899"/>
      <w:r>
        <w:rPr>
          <w:rFonts w:hint="eastAsia" w:ascii="宋体" w:hAnsi="宋体" w:eastAsia="宋体" w:cs="宋体"/>
          <w:b w:val="0"/>
          <w:bCs/>
        </w:rPr>
        <w:t>可靠性需求</w:t>
      </w:r>
      <w:bookmarkEnd w:id="28"/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1、用户数据（车牌号、手机号）需定期做备份操作，防患系统问题导致数据丢失；</w:t>
      </w:r>
    </w:p>
    <w:p>
      <w:pPr>
        <w:pStyle w:val="4"/>
        <w:ind w:firstLine="220"/>
        <w:rPr>
          <w:rFonts w:ascii="宋体" w:hAnsi="宋体" w:cs="宋体"/>
        </w:rPr>
      </w:pPr>
      <w:r>
        <w:rPr>
          <w:rFonts w:hint="eastAsia" w:ascii="宋体" w:hAnsi="宋体" w:cs="宋体"/>
        </w:rPr>
        <w:t>2、vip车辆的出入信息需要备份，便于日后数据分析；并且需要保密，以防数据泄露。</w:t>
      </w:r>
    </w:p>
    <w:bookmarkEnd w:id="9"/>
    <w:p>
      <w:pPr>
        <w:pStyle w:val="2"/>
        <w:numPr>
          <w:ilvl w:val="0"/>
          <w:numId w:val="2"/>
        </w:numPr>
        <w:tabs>
          <w:tab w:val="clear" w:pos="574"/>
        </w:tabs>
        <w:ind w:firstLine="0"/>
        <w:rPr>
          <w:rFonts w:cs="宋体"/>
        </w:rPr>
      </w:pPr>
      <w:bookmarkStart w:id="29" w:name="_Toc530759900"/>
      <w:bookmarkStart w:id="30" w:name="_Toc109790293"/>
      <w:r>
        <w:rPr>
          <w:rFonts w:hint="eastAsia" w:cs="宋体"/>
        </w:rPr>
        <w:t>参考资料</w:t>
      </w:r>
      <w:bookmarkEnd w:id="29"/>
      <w:bookmarkEnd w:id="30"/>
    </w:p>
    <w:p>
      <w:pPr>
        <w:pStyle w:val="3"/>
        <w:numPr>
          <w:ilvl w:val="0"/>
          <w:numId w:val="11"/>
        </w:numPr>
        <w:rPr>
          <w:rFonts w:ascii="宋体" w:hAnsi="宋体" w:cs="宋体"/>
          <w:iCs/>
          <w:color w:val="auto"/>
        </w:rPr>
      </w:pPr>
      <w:r>
        <w:rPr>
          <w:rFonts w:hint="eastAsia" w:ascii="宋体" w:hAnsi="宋体" w:cs="宋体"/>
          <w:iCs/>
          <w:color w:val="auto"/>
        </w:rPr>
        <w:t>智慧停车 V2.1 UI设计图</w:t>
      </w:r>
      <w:r>
        <w:rPr>
          <w:rFonts w:ascii="宋体" w:hAnsi="宋体" w:cs="宋体"/>
          <w:iCs/>
          <w:color w:val="auto"/>
        </w:rPr>
        <w:t>；</w:t>
      </w:r>
    </w:p>
    <w:p>
      <w:pPr>
        <w:pStyle w:val="3"/>
        <w:numPr>
          <w:ilvl w:val="0"/>
          <w:numId w:val="11"/>
        </w:numPr>
        <w:rPr>
          <w:rFonts w:ascii="宋体" w:hAnsi="宋体" w:cs="宋体"/>
          <w:iCs/>
          <w:color w:val="auto"/>
        </w:rPr>
      </w:pPr>
      <w:r>
        <w:rPr>
          <w:rFonts w:ascii="宋体" w:hAnsi="宋体" w:cs="宋体"/>
          <w:iCs/>
          <w:color w:val="auto"/>
        </w:rPr>
        <w:t>富士品牌道闸接口文档；</w:t>
      </w:r>
    </w:p>
    <w:p/>
    <w:sectPr>
      <w:headerReference r:id="rId7" w:type="default"/>
      <w:footerReference r:id="rId8" w:type="default"/>
      <w:pgSz w:w="11906" w:h="16838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10223219"/>
    </w:sdtPr>
    <w:sdtContent>
      <w:p>
        <w:pPr>
          <w:pStyle w:val="1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rPr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第</w:t>
    </w:r>
    <w:r>
      <w:rPr>
        <w:rFonts w:ascii="宋体" w:hAnsi="宋体"/>
        <w:sz w:val="21"/>
        <w:szCs w:val="21"/>
      </w:rPr>
      <w:fldChar w:fldCharType="begin"/>
    </w:r>
    <w:r>
      <w:rPr>
        <w:rStyle w:val="23"/>
        <w:rFonts w:ascii="宋体" w:hAnsi="宋体"/>
        <w:sz w:val="21"/>
        <w:szCs w:val="21"/>
      </w:rPr>
      <w:instrText xml:space="preserve"> PAGE </w:instrText>
    </w:r>
    <w:r>
      <w:rPr>
        <w:rFonts w:ascii="宋体" w:hAnsi="宋体"/>
        <w:sz w:val="21"/>
        <w:szCs w:val="21"/>
      </w:rPr>
      <w:fldChar w:fldCharType="separate"/>
    </w:r>
    <w:r>
      <w:rPr>
        <w:rStyle w:val="23"/>
        <w:rFonts w:ascii="宋体" w:hAnsi="宋体"/>
        <w:sz w:val="21"/>
        <w:szCs w:val="21"/>
      </w:rPr>
      <w:t>7</w:t>
    </w:r>
    <w:r>
      <w:rPr>
        <w:rFonts w:ascii="宋体" w:hAnsi="宋体"/>
        <w:sz w:val="21"/>
        <w:szCs w:val="21"/>
      </w:rPr>
      <w:fldChar w:fldCharType="end"/>
    </w:r>
    <w:r>
      <w:rPr>
        <w:rStyle w:val="23"/>
        <w:rFonts w:hint="eastAsia" w:ascii="宋体" w:hAnsi="宋体"/>
        <w:sz w:val="21"/>
        <w:szCs w:val="21"/>
      </w:rPr>
      <w:t>页，共</w:t>
    </w:r>
    <w:r>
      <w:rPr>
        <w:rFonts w:ascii="宋体" w:hAnsi="宋体"/>
        <w:sz w:val="21"/>
        <w:szCs w:val="21"/>
      </w:rPr>
      <w:fldChar w:fldCharType="begin"/>
    </w:r>
    <w:r>
      <w:rPr>
        <w:rStyle w:val="23"/>
        <w:rFonts w:ascii="宋体" w:hAnsi="宋体"/>
        <w:sz w:val="21"/>
        <w:szCs w:val="21"/>
      </w:rPr>
      <w:instrText xml:space="preserve"> NUMPAGES </w:instrText>
    </w:r>
    <w:r>
      <w:rPr>
        <w:rFonts w:ascii="宋体" w:hAnsi="宋体"/>
        <w:sz w:val="21"/>
        <w:szCs w:val="21"/>
      </w:rPr>
      <w:fldChar w:fldCharType="separate"/>
    </w:r>
    <w:r>
      <w:rPr>
        <w:rStyle w:val="23"/>
        <w:rFonts w:ascii="宋体" w:hAnsi="宋体"/>
        <w:sz w:val="21"/>
        <w:szCs w:val="21"/>
      </w:rPr>
      <w:t>19</w:t>
    </w:r>
    <w:r>
      <w:rPr>
        <w:rFonts w:ascii="宋体" w:hAnsi="宋体"/>
        <w:sz w:val="21"/>
        <w:szCs w:val="21"/>
      </w:rPr>
      <w:fldChar w:fldCharType="end"/>
    </w:r>
    <w:r>
      <w:rPr>
        <w:rStyle w:val="23"/>
        <w:rFonts w:hint="eastAsia" w:ascii="宋体" w:hAnsi="宋体"/>
        <w:sz w:val="21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tabs>
        <w:tab w:val="left" w:pos="0"/>
      </w:tabs>
      <w:jc w:val="left"/>
    </w:pPr>
    <w:r>
      <w:rPr>
        <w:rFonts w:hint="eastAsia"/>
      </w:rPr>
      <w:tab/>
    </w:r>
    <w:r>
      <w:rPr>
        <w:rFonts w:hint="eastAsia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</w:p>
  <w:p>
    <w:pPr>
      <w:pStyle w:val="18"/>
      <w:jc w:val="both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7B258A"/>
    <w:multiLevelType w:val="singleLevel"/>
    <w:tmpl w:val="937B258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0880C57"/>
    <w:multiLevelType w:val="multilevel"/>
    <w:tmpl w:val="C0880C57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">
    <w:nsid w:val="FD5C8DF2"/>
    <w:multiLevelType w:val="multilevel"/>
    <w:tmpl w:val="FD5C8D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119005E9"/>
    <w:multiLevelType w:val="multilevel"/>
    <w:tmpl w:val="119005E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A46E9D"/>
    <w:multiLevelType w:val="multilevel"/>
    <w:tmpl w:val="41A46E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E0685A"/>
    <w:multiLevelType w:val="multilevel"/>
    <w:tmpl w:val="41E0685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>
    <w:nsid w:val="591B53EE"/>
    <w:multiLevelType w:val="multilevel"/>
    <w:tmpl w:val="591B53E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5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6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7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8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5BCFE7B4"/>
    <w:multiLevelType w:val="singleLevel"/>
    <w:tmpl w:val="5BCFE7B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BD02C20"/>
    <w:multiLevelType w:val="singleLevel"/>
    <w:tmpl w:val="5BD02C2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BD04BB2"/>
    <w:multiLevelType w:val="singleLevel"/>
    <w:tmpl w:val="5BD04BB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6A807D4B"/>
    <w:multiLevelType w:val="multilevel"/>
    <w:tmpl w:val="6A807D4B"/>
    <w:lvl w:ilvl="0" w:tentative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10"/>
  </w:num>
  <w:num w:numId="7">
    <w:abstractNumId w:val="7"/>
  </w:num>
  <w:num w:numId="8">
    <w:abstractNumId w:val="8"/>
  </w:num>
  <w:num w:numId="9">
    <w:abstractNumId w:val="3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0554D"/>
    <w:rsid w:val="000018A0"/>
    <w:rsid w:val="000128D1"/>
    <w:rsid w:val="0001510D"/>
    <w:rsid w:val="000243CA"/>
    <w:rsid w:val="0003098B"/>
    <w:rsid w:val="00041CE6"/>
    <w:rsid w:val="00042291"/>
    <w:rsid w:val="000452B0"/>
    <w:rsid w:val="00046B4C"/>
    <w:rsid w:val="00057CE7"/>
    <w:rsid w:val="00060072"/>
    <w:rsid w:val="00062055"/>
    <w:rsid w:val="00066018"/>
    <w:rsid w:val="0008304D"/>
    <w:rsid w:val="000A085B"/>
    <w:rsid w:val="000A6448"/>
    <w:rsid w:val="000C3322"/>
    <w:rsid w:val="000E32ED"/>
    <w:rsid w:val="000E59B2"/>
    <w:rsid w:val="000F201F"/>
    <w:rsid w:val="00106B6D"/>
    <w:rsid w:val="00112A79"/>
    <w:rsid w:val="001147B0"/>
    <w:rsid w:val="001301FD"/>
    <w:rsid w:val="00130BBD"/>
    <w:rsid w:val="001345D6"/>
    <w:rsid w:val="001839DB"/>
    <w:rsid w:val="00187326"/>
    <w:rsid w:val="00196815"/>
    <w:rsid w:val="001A33DE"/>
    <w:rsid w:val="001A7AFC"/>
    <w:rsid w:val="001B3C62"/>
    <w:rsid w:val="001C7B11"/>
    <w:rsid w:val="001D1981"/>
    <w:rsid w:val="0020087D"/>
    <w:rsid w:val="00207BBC"/>
    <w:rsid w:val="002201EC"/>
    <w:rsid w:val="00231261"/>
    <w:rsid w:val="0023362F"/>
    <w:rsid w:val="0024390D"/>
    <w:rsid w:val="00271FF9"/>
    <w:rsid w:val="002830B1"/>
    <w:rsid w:val="002A0E28"/>
    <w:rsid w:val="002A3D92"/>
    <w:rsid w:val="002C069A"/>
    <w:rsid w:val="003225AA"/>
    <w:rsid w:val="003355A2"/>
    <w:rsid w:val="003512CC"/>
    <w:rsid w:val="003528F1"/>
    <w:rsid w:val="0037742C"/>
    <w:rsid w:val="00385091"/>
    <w:rsid w:val="0038712C"/>
    <w:rsid w:val="003920A6"/>
    <w:rsid w:val="003B6937"/>
    <w:rsid w:val="003C3526"/>
    <w:rsid w:val="003E058B"/>
    <w:rsid w:val="0040016B"/>
    <w:rsid w:val="00410234"/>
    <w:rsid w:val="00424F8B"/>
    <w:rsid w:val="0042578C"/>
    <w:rsid w:val="00441696"/>
    <w:rsid w:val="00451BEA"/>
    <w:rsid w:val="0046376A"/>
    <w:rsid w:val="00466C14"/>
    <w:rsid w:val="0048767B"/>
    <w:rsid w:val="0049681F"/>
    <w:rsid w:val="004B0DD5"/>
    <w:rsid w:val="004E04B9"/>
    <w:rsid w:val="004E4CFE"/>
    <w:rsid w:val="004F7CEF"/>
    <w:rsid w:val="005062E4"/>
    <w:rsid w:val="00523594"/>
    <w:rsid w:val="00531622"/>
    <w:rsid w:val="005334AF"/>
    <w:rsid w:val="00535622"/>
    <w:rsid w:val="00535713"/>
    <w:rsid w:val="005368A6"/>
    <w:rsid w:val="00541410"/>
    <w:rsid w:val="00546E69"/>
    <w:rsid w:val="0055305A"/>
    <w:rsid w:val="005676A9"/>
    <w:rsid w:val="005709F7"/>
    <w:rsid w:val="005B2AB1"/>
    <w:rsid w:val="005F3A23"/>
    <w:rsid w:val="00612CE9"/>
    <w:rsid w:val="00614238"/>
    <w:rsid w:val="0062052E"/>
    <w:rsid w:val="00634D01"/>
    <w:rsid w:val="0064033F"/>
    <w:rsid w:val="006441B4"/>
    <w:rsid w:val="00652BBE"/>
    <w:rsid w:val="006532C0"/>
    <w:rsid w:val="006A26FB"/>
    <w:rsid w:val="006B274D"/>
    <w:rsid w:val="006B2CB3"/>
    <w:rsid w:val="006C20FB"/>
    <w:rsid w:val="006C4796"/>
    <w:rsid w:val="006E2EFC"/>
    <w:rsid w:val="006F1A79"/>
    <w:rsid w:val="007036C0"/>
    <w:rsid w:val="0071313A"/>
    <w:rsid w:val="0071548E"/>
    <w:rsid w:val="00716498"/>
    <w:rsid w:val="0073080C"/>
    <w:rsid w:val="00736846"/>
    <w:rsid w:val="0074507A"/>
    <w:rsid w:val="007450C5"/>
    <w:rsid w:val="007514C9"/>
    <w:rsid w:val="00753093"/>
    <w:rsid w:val="007602AC"/>
    <w:rsid w:val="00772739"/>
    <w:rsid w:val="00783FA0"/>
    <w:rsid w:val="00785BAD"/>
    <w:rsid w:val="007A77CC"/>
    <w:rsid w:val="007B0882"/>
    <w:rsid w:val="007D275A"/>
    <w:rsid w:val="007E5DBD"/>
    <w:rsid w:val="00800183"/>
    <w:rsid w:val="0080181A"/>
    <w:rsid w:val="00804026"/>
    <w:rsid w:val="00824F07"/>
    <w:rsid w:val="00830CDE"/>
    <w:rsid w:val="00832733"/>
    <w:rsid w:val="00845D6A"/>
    <w:rsid w:val="00854DB5"/>
    <w:rsid w:val="00856D28"/>
    <w:rsid w:val="00860208"/>
    <w:rsid w:val="00862BC1"/>
    <w:rsid w:val="00876B7E"/>
    <w:rsid w:val="00881C0A"/>
    <w:rsid w:val="00897A06"/>
    <w:rsid w:val="008B4348"/>
    <w:rsid w:val="008B4B41"/>
    <w:rsid w:val="008B7A90"/>
    <w:rsid w:val="008D34FC"/>
    <w:rsid w:val="008F7E35"/>
    <w:rsid w:val="00913EFB"/>
    <w:rsid w:val="00921398"/>
    <w:rsid w:val="009229CD"/>
    <w:rsid w:val="00927BFE"/>
    <w:rsid w:val="00931075"/>
    <w:rsid w:val="00934351"/>
    <w:rsid w:val="00941F4C"/>
    <w:rsid w:val="00973421"/>
    <w:rsid w:val="00976F22"/>
    <w:rsid w:val="00997022"/>
    <w:rsid w:val="009D470C"/>
    <w:rsid w:val="009D77D5"/>
    <w:rsid w:val="009E3F01"/>
    <w:rsid w:val="009E516B"/>
    <w:rsid w:val="009F06F0"/>
    <w:rsid w:val="009F4462"/>
    <w:rsid w:val="009F53D8"/>
    <w:rsid w:val="00A335A0"/>
    <w:rsid w:val="00A3425B"/>
    <w:rsid w:val="00A61D95"/>
    <w:rsid w:val="00A638C6"/>
    <w:rsid w:val="00A74D9A"/>
    <w:rsid w:val="00A91E41"/>
    <w:rsid w:val="00A96BC2"/>
    <w:rsid w:val="00AD1545"/>
    <w:rsid w:val="00AE1EAF"/>
    <w:rsid w:val="00AF1D9B"/>
    <w:rsid w:val="00AF3D7C"/>
    <w:rsid w:val="00AF481C"/>
    <w:rsid w:val="00AF5E13"/>
    <w:rsid w:val="00AF61ED"/>
    <w:rsid w:val="00B0554D"/>
    <w:rsid w:val="00B05E3D"/>
    <w:rsid w:val="00B44D6B"/>
    <w:rsid w:val="00B47930"/>
    <w:rsid w:val="00B60211"/>
    <w:rsid w:val="00B847B4"/>
    <w:rsid w:val="00BB4D90"/>
    <w:rsid w:val="00BB60C2"/>
    <w:rsid w:val="00BC064A"/>
    <w:rsid w:val="00BC1648"/>
    <w:rsid w:val="00BC34BA"/>
    <w:rsid w:val="00BD4C4E"/>
    <w:rsid w:val="00BE13BC"/>
    <w:rsid w:val="00BF0139"/>
    <w:rsid w:val="00BF6875"/>
    <w:rsid w:val="00C22294"/>
    <w:rsid w:val="00C26EA2"/>
    <w:rsid w:val="00C47C98"/>
    <w:rsid w:val="00C66C4C"/>
    <w:rsid w:val="00CA2F86"/>
    <w:rsid w:val="00CA6748"/>
    <w:rsid w:val="00CC61D9"/>
    <w:rsid w:val="00CD7244"/>
    <w:rsid w:val="00CD796E"/>
    <w:rsid w:val="00CF13C6"/>
    <w:rsid w:val="00D00442"/>
    <w:rsid w:val="00D05866"/>
    <w:rsid w:val="00D10402"/>
    <w:rsid w:val="00D47E22"/>
    <w:rsid w:val="00D47F2A"/>
    <w:rsid w:val="00D55DBA"/>
    <w:rsid w:val="00D67B4B"/>
    <w:rsid w:val="00D93455"/>
    <w:rsid w:val="00DB536B"/>
    <w:rsid w:val="00DC153E"/>
    <w:rsid w:val="00DE5830"/>
    <w:rsid w:val="00DE7971"/>
    <w:rsid w:val="00DF5D09"/>
    <w:rsid w:val="00E562C7"/>
    <w:rsid w:val="00E672EB"/>
    <w:rsid w:val="00E6798D"/>
    <w:rsid w:val="00E74C44"/>
    <w:rsid w:val="00EE08CB"/>
    <w:rsid w:val="00EE1C20"/>
    <w:rsid w:val="00F110AF"/>
    <w:rsid w:val="00F141AD"/>
    <w:rsid w:val="00F21A84"/>
    <w:rsid w:val="00F21E74"/>
    <w:rsid w:val="00F6131F"/>
    <w:rsid w:val="00F87154"/>
    <w:rsid w:val="00FB1D2B"/>
    <w:rsid w:val="00FB75DB"/>
    <w:rsid w:val="00FD6F11"/>
    <w:rsid w:val="00FE3860"/>
    <w:rsid w:val="00FE685B"/>
    <w:rsid w:val="165BFF87"/>
    <w:rsid w:val="17AA1F07"/>
    <w:rsid w:val="239FCF65"/>
    <w:rsid w:val="271FA5A5"/>
    <w:rsid w:val="28B7AE7F"/>
    <w:rsid w:val="2BFC8459"/>
    <w:rsid w:val="2F2DCAA1"/>
    <w:rsid w:val="2FEFE297"/>
    <w:rsid w:val="3536D5CB"/>
    <w:rsid w:val="35DFC16A"/>
    <w:rsid w:val="37CF0ED2"/>
    <w:rsid w:val="37EEF7BF"/>
    <w:rsid w:val="3B1F31DB"/>
    <w:rsid w:val="3B7FAAFA"/>
    <w:rsid w:val="3BCFA3D9"/>
    <w:rsid w:val="3BDFD3D4"/>
    <w:rsid w:val="4BFFEAE7"/>
    <w:rsid w:val="56EF9B52"/>
    <w:rsid w:val="56F7D505"/>
    <w:rsid w:val="57FDBEDA"/>
    <w:rsid w:val="59FF63FC"/>
    <w:rsid w:val="5BD5F848"/>
    <w:rsid w:val="5BFF971D"/>
    <w:rsid w:val="5E7BB4BA"/>
    <w:rsid w:val="5FC190BF"/>
    <w:rsid w:val="5FF6BDB6"/>
    <w:rsid w:val="5FF727E5"/>
    <w:rsid w:val="63D52B3B"/>
    <w:rsid w:val="6A5212EC"/>
    <w:rsid w:val="6ABCFD90"/>
    <w:rsid w:val="6EDED5EB"/>
    <w:rsid w:val="6EFF6275"/>
    <w:rsid w:val="6F947B49"/>
    <w:rsid w:val="6FA5BDD6"/>
    <w:rsid w:val="71D13B1B"/>
    <w:rsid w:val="73F46442"/>
    <w:rsid w:val="76F53CDB"/>
    <w:rsid w:val="76FF55E0"/>
    <w:rsid w:val="77EDA0CE"/>
    <w:rsid w:val="77FC1FE1"/>
    <w:rsid w:val="77FC9AB2"/>
    <w:rsid w:val="786F918F"/>
    <w:rsid w:val="79364D87"/>
    <w:rsid w:val="797D4B81"/>
    <w:rsid w:val="7BBFEE35"/>
    <w:rsid w:val="7BEB4C96"/>
    <w:rsid w:val="7D739A34"/>
    <w:rsid w:val="7DBB9A9A"/>
    <w:rsid w:val="7DBD5061"/>
    <w:rsid w:val="7DEB813B"/>
    <w:rsid w:val="7DEF940F"/>
    <w:rsid w:val="7EE761ED"/>
    <w:rsid w:val="7F3E10C3"/>
    <w:rsid w:val="7F7F1659"/>
    <w:rsid w:val="7FBF266F"/>
    <w:rsid w:val="7FEF9765"/>
    <w:rsid w:val="7FFB9CC8"/>
    <w:rsid w:val="7FFBB654"/>
    <w:rsid w:val="7FFF366A"/>
    <w:rsid w:val="8DEE1362"/>
    <w:rsid w:val="8FF167F7"/>
    <w:rsid w:val="96377220"/>
    <w:rsid w:val="9E775CEC"/>
    <w:rsid w:val="9FBB3382"/>
    <w:rsid w:val="9FFF8D39"/>
    <w:rsid w:val="AFB5E45D"/>
    <w:rsid w:val="AFFF86A4"/>
    <w:rsid w:val="B72C9834"/>
    <w:rsid w:val="B73FB30F"/>
    <w:rsid w:val="B7DBF115"/>
    <w:rsid w:val="BBF5AD6C"/>
    <w:rsid w:val="BC7E2FAB"/>
    <w:rsid w:val="BF9618E6"/>
    <w:rsid w:val="C4FB5E30"/>
    <w:rsid w:val="C5BF7C4C"/>
    <w:rsid w:val="C6FF24FE"/>
    <w:rsid w:val="C7DD7A6A"/>
    <w:rsid w:val="CBFEDC3B"/>
    <w:rsid w:val="CDBDBF4E"/>
    <w:rsid w:val="CDFF8D3C"/>
    <w:rsid w:val="CF2D1849"/>
    <w:rsid w:val="D3FAC6D5"/>
    <w:rsid w:val="D5AF10E6"/>
    <w:rsid w:val="D5C65DDB"/>
    <w:rsid w:val="D76BACB4"/>
    <w:rsid w:val="D7BD69CF"/>
    <w:rsid w:val="D7FF104F"/>
    <w:rsid w:val="DB7AD9B0"/>
    <w:rsid w:val="DDEB9828"/>
    <w:rsid w:val="DE75FD1E"/>
    <w:rsid w:val="DF965D78"/>
    <w:rsid w:val="DFACEBBD"/>
    <w:rsid w:val="DFDCF672"/>
    <w:rsid w:val="DFFECB7A"/>
    <w:rsid w:val="E3DD72CB"/>
    <w:rsid w:val="E4FF6DBD"/>
    <w:rsid w:val="E73FA508"/>
    <w:rsid w:val="E7F9B981"/>
    <w:rsid w:val="E9D7E50C"/>
    <w:rsid w:val="EB76A3C4"/>
    <w:rsid w:val="EBFBF7B4"/>
    <w:rsid w:val="ED7FA56C"/>
    <w:rsid w:val="EEEE383E"/>
    <w:rsid w:val="EF630694"/>
    <w:rsid w:val="EFBEB59E"/>
    <w:rsid w:val="EFD97EA9"/>
    <w:rsid w:val="EFEEF529"/>
    <w:rsid w:val="EFFBEDFA"/>
    <w:rsid w:val="EFFF0E78"/>
    <w:rsid w:val="F1F67D07"/>
    <w:rsid w:val="F2FFE4F9"/>
    <w:rsid w:val="F3364F91"/>
    <w:rsid w:val="F3BA0CA8"/>
    <w:rsid w:val="F3D7760E"/>
    <w:rsid w:val="F4BCB92E"/>
    <w:rsid w:val="F535B725"/>
    <w:rsid w:val="F629AF64"/>
    <w:rsid w:val="F63BA6E4"/>
    <w:rsid w:val="F766F12D"/>
    <w:rsid w:val="F77FFB8B"/>
    <w:rsid w:val="F7AF9B02"/>
    <w:rsid w:val="F7BFBC52"/>
    <w:rsid w:val="F7D60FF8"/>
    <w:rsid w:val="F8FFD7B9"/>
    <w:rsid w:val="F9728CF2"/>
    <w:rsid w:val="FAB7A929"/>
    <w:rsid w:val="FB0F2635"/>
    <w:rsid w:val="FB7E3837"/>
    <w:rsid w:val="FBB70974"/>
    <w:rsid w:val="FBDF91F3"/>
    <w:rsid w:val="FD9F31E1"/>
    <w:rsid w:val="FDA70B29"/>
    <w:rsid w:val="FDEF30CB"/>
    <w:rsid w:val="FE7C494E"/>
    <w:rsid w:val="FEED5846"/>
    <w:rsid w:val="FEEF965D"/>
    <w:rsid w:val="FEF24022"/>
    <w:rsid w:val="FF3EE6FC"/>
    <w:rsid w:val="FF3F05F0"/>
    <w:rsid w:val="FF5646D6"/>
    <w:rsid w:val="FF5F6129"/>
    <w:rsid w:val="FF7D0FEE"/>
    <w:rsid w:val="FFB3EA3B"/>
    <w:rsid w:val="FFBFC6E5"/>
    <w:rsid w:val="FFCD7030"/>
    <w:rsid w:val="FFD97B9E"/>
    <w:rsid w:val="FFEAB0DD"/>
    <w:rsid w:val="FFEDD8BA"/>
    <w:rsid w:val="FFFB2525"/>
    <w:rsid w:val="FFFB403F"/>
    <w:rsid w:val="FFFE7374"/>
    <w:rsid w:val="FFFFC83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next w:val="3"/>
    <w:link w:val="29"/>
    <w:qFormat/>
    <w:uiPriority w:val="0"/>
    <w:pPr>
      <w:keepNext/>
      <w:keepLines/>
      <w:widowControl w:val="0"/>
      <w:numPr>
        <w:ilvl w:val="0"/>
        <w:numId w:val="1"/>
      </w:numPr>
      <w:tabs>
        <w:tab w:val="left" w:pos="432"/>
        <w:tab w:val="left" w:pos="574"/>
      </w:tabs>
      <w:spacing w:before="120" w:after="120" w:line="360" w:lineRule="auto"/>
      <w:jc w:val="both"/>
      <w:outlineLvl w:val="0"/>
    </w:pPr>
    <w:rPr>
      <w:rFonts w:ascii="宋体" w:hAnsi="宋体" w:eastAsia="宋体" w:cs="Times New Roman"/>
      <w:b/>
      <w:kern w:val="44"/>
      <w:sz w:val="28"/>
      <w:szCs w:val="36"/>
      <w:lang w:val="en-US" w:eastAsia="zh-CN" w:bidi="ar-SA"/>
    </w:rPr>
  </w:style>
  <w:style w:type="paragraph" w:styleId="5">
    <w:name w:val="heading 2"/>
    <w:basedOn w:val="1"/>
    <w:next w:val="4"/>
    <w:link w:val="30"/>
    <w:qFormat/>
    <w:uiPriority w:val="0"/>
    <w:pPr>
      <w:keepNext/>
      <w:keepLines/>
      <w:numPr>
        <w:ilvl w:val="1"/>
        <w:numId w:val="1"/>
      </w:numPr>
      <w:tabs>
        <w:tab w:val="left" w:pos="574"/>
        <w:tab w:val="left" w:pos="718"/>
      </w:tabs>
      <w:spacing w:line="360" w:lineRule="auto"/>
      <w:outlineLvl w:val="1"/>
    </w:pPr>
    <w:rPr>
      <w:rFonts w:ascii="宋体" w:hAnsi="宋体"/>
      <w:b/>
      <w:sz w:val="24"/>
      <w:szCs w:val="30"/>
    </w:rPr>
  </w:style>
  <w:style w:type="paragraph" w:styleId="6">
    <w:name w:val="heading 3"/>
    <w:basedOn w:val="1"/>
    <w:next w:val="4"/>
    <w:link w:val="31"/>
    <w:qFormat/>
    <w:uiPriority w:val="0"/>
    <w:pPr>
      <w:keepNext/>
      <w:keepLines/>
      <w:numPr>
        <w:ilvl w:val="2"/>
        <w:numId w:val="1"/>
      </w:numPr>
      <w:tabs>
        <w:tab w:val="left" w:pos="574"/>
        <w:tab w:val="left" w:pos="720"/>
        <w:tab w:val="left" w:pos="862"/>
      </w:tabs>
      <w:outlineLvl w:val="2"/>
    </w:pPr>
    <w:rPr>
      <w:rFonts w:ascii="黑体" w:eastAsia="黑体"/>
      <w:b/>
      <w:szCs w:val="21"/>
    </w:rPr>
  </w:style>
  <w:style w:type="paragraph" w:styleId="7">
    <w:name w:val="heading 4"/>
    <w:basedOn w:val="1"/>
    <w:next w:val="4"/>
    <w:link w:val="32"/>
    <w:qFormat/>
    <w:uiPriority w:val="0"/>
    <w:pPr>
      <w:keepNext/>
      <w:keepLines/>
      <w:numPr>
        <w:ilvl w:val="3"/>
        <w:numId w:val="1"/>
      </w:numPr>
      <w:tabs>
        <w:tab w:val="left" w:pos="574"/>
        <w:tab w:val="left" w:pos="864"/>
        <w:tab w:val="left" w:pos="1006"/>
      </w:tabs>
      <w:spacing w:line="360" w:lineRule="auto"/>
      <w:outlineLvl w:val="3"/>
    </w:pPr>
    <w:rPr>
      <w:b/>
      <w:szCs w:val="20"/>
    </w:rPr>
  </w:style>
  <w:style w:type="paragraph" w:styleId="8">
    <w:name w:val="heading 5"/>
    <w:basedOn w:val="1"/>
    <w:next w:val="4"/>
    <w:link w:val="33"/>
    <w:qFormat/>
    <w:uiPriority w:val="0"/>
    <w:pPr>
      <w:keepNext/>
      <w:keepLines/>
      <w:numPr>
        <w:ilvl w:val="4"/>
        <w:numId w:val="1"/>
      </w:numPr>
      <w:tabs>
        <w:tab w:val="left" w:pos="574"/>
        <w:tab w:val="left" w:pos="1008"/>
        <w:tab w:val="left" w:pos="1150"/>
      </w:tabs>
      <w:spacing w:line="360" w:lineRule="auto"/>
      <w:outlineLvl w:val="4"/>
    </w:pPr>
    <w:rPr>
      <w:b/>
      <w:szCs w:val="20"/>
    </w:rPr>
  </w:style>
  <w:style w:type="paragraph" w:styleId="9">
    <w:name w:val="heading 6"/>
    <w:basedOn w:val="1"/>
    <w:next w:val="1"/>
    <w:link w:val="34"/>
    <w:qFormat/>
    <w:uiPriority w:val="0"/>
    <w:pPr>
      <w:widowControl/>
      <w:numPr>
        <w:ilvl w:val="5"/>
        <w:numId w:val="1"/>
      </w:numPr>
      <w:tabs>
        <w:tab w:val="left" w:pos="574"/>
        <w:tab w:val="left" w:pos="1152"/>
        <w:tab w:val="left" w:pos="1294"/>
      </w:tabs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kern w:val="0"/>
      <w:sz w:val="22"/>
      <w:szCs w:val="20"/>
    </w:rPr>
  </w:style>
  <w:style w:type="paragraph" w:styleId="10">
    <w:name w:val="heading 7"/>
    <w:basedOn w:val="1"/>
    <w:next w:val="1"/>
    <w:link w:val="35"/>
    <w:qFormat/>
    <w:uiPriority w:val="0"/>
    <w:pPr>
      <w:widowControl/>
      <w:numPr>
        <w:ilvl w:val="6"/>
        <w:numId w:val="1"/>
      </w:numPr>
      <w:tabs>
        <w:tab w:val="left" w:pos="574"/>
        <w:tab w:val="left" w:pos="1296"/>
        <w:tab w:val="left" w:pos="1438"/>
      </w:tabs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kern w:val="0"/>
      <w:sz w:val="24"/>
      <w:szCs w:val="20"/>
    </w:rPr>
  </w:style>
  <w:style w:type="paragraph" w:styleId="11">
    <w:name w:val="heading 8"/>
    <w:basedOn w:val="1"/>
    <w:next w:val="1"/>
    <w:link w:val="36"/>
    <w:qFormat/>
    <w:uiPriority w:val="0"/>
    <w:pPr>
      <w:widowControl/>
      <w:numPr>
        <w:ilvl w:val="7"/>
        <w:numId w:val="1"/>
      </w:numPr>
      <w:tabs>
        <w:tab w:val="left" w:pos="574"/>
        <w:tab w:val="left" w:pos="1440"/>
        <w:tab w:val="left" w:pos="1582"/>
      </w:tabs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kern w:val="0"/>
      <w:sz w:val="24"/>
      <w:szCs w:val="20"/>
    </w:rPr>
  </w:style>
  <w:style w:type="paragraph" w:styleId="12">
    <w:name w:val="heading 9"/>
    <w:basedOn w:val="1"/>
    <w:next w:val="1"/>
    <w:link w:val="37"/>
    <w:qFormat/>
    <w:uiPriority w:val="0"/>
    <w:pPr>
      <w:widowControl/>
      <w:numPr>
        <w:ilvl w:val="8"/>
        <w:numId w:val="1"/>
      </w:numPr>
      <w:tabs>
        <w:tab w:val="left" w:pos="574"/>
        <w:tab w:val="left" w:pos="1584"/>
        <w:tab w:val="left" w:pos="1726"/>
      </w:tabs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22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First Indent"/>
    <w:basedOn w:val="4"/>
    <w:link w:val="39"/>
    <w:qFormat/>
    <w:uiPriority w:val="0"/>
    <w:rPr>
      <w:color w:val="0000FF"/>
    </w:rPr>
  </w:style>
  <w:style w:type="paragraph" w:styleId="4">
    <w:name w:val="Normal Indent"/>
    <w:basedOn w:val="1"/>
    <w:qFormat/>
    <w:uiPriority w:val="0"/>
    <w:pPr>
      <w:ind w:firstLine="420"/>
    </w:pPr>
  </w:style>
  <w:style w:type="paragraph" w:styleId="13">
    <w:name w:val="Body Text"/>
    <w:basedOn w:val="1"/>
    <w:link w:val="38"/>
    <w:unhideWhenUsed/>
    <w:qFormat/>
    <w:uiPriority w:val="99"/>
    <w:pPr>
      <w:spacing w:after="120"/>
    </w:pPr>
  </w:style>
  <w:style w:type="paragraph" w:styleId="14">
    <w:name w:val="toc 3"/>
    <w:basedOn w:val="1"/>
    <w:next w:val="1"/>
    <w:qFormat/>
    <w:uiPriority w:val="39"/>
    <w:pPr>
      <w:tabs>
        <w:tab w:val="left" w:pos="1260"/>
        <w:tab w:val="right" w:leader="dot" w:pos="8302"/>
      </w:tabs>
      <w:ind w:left="420"/>
      <w:jc w:val="left"/>
    </w:pPr>
    <w:rPr>
      <w:szCs w:val="20"/>
    </w:rPr>
  </w:style>
  <w:style w:type="paragraph" w:styleId="15">
    <w:name w:val="Date"/>
    <w:basedOn w:val="1"/>
    <w:next w:val="1"/>
    <w:link w:val="40"/>
    <w:unhideWhenUsed/>
    <w:qFormat/>
    <w:uiPriority w:val="99"/>
    <w:pPr>
      <w:ind w:left="100" w:leftChars="2500"/>
    </w:pPr>
  </w:style>
  <w:style w:type="paragraph" w:styleId="16">
    <w:name w:val="Balloon Text"/>
    <w:basedOn w:val="1"/>
    <w:link w:val="41"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next w:val="1"/>
    <w:qFormat/>
    <w:uiPriority w:val="39"/>
    <w:pPr>
      <w:tabs>
        <w:tab w:val="left" w:pos="420"/>
        <w:tab w:val="right" w:leader="dot" w:pos="8302"/>
      </w:tabs>
    </w:pPr>
    <w:rPr>
      <w:rFonts w:ascii="Times New Roman" w:hAnsi="Times New Roman" w:eastAsia="宋体" w:cs="Times New Roman"/>
      <w:caps/>
      <w:kern w:val="2"/>
      <w:sz w:val="21"/>
      <w:lang w:val="en-US" w:eastAsia="zh-CN" w:bidi="ar-SA"/>
    </w:rPr>
  </w:style>
  <w:style w:type="paragraph" w:styleId="20">
    <w:name w:val="toc 4"/>
    <w:basedOn w:val="1"/>
    <w:next w:val="1"/>
    <w:qFormat/>
    <w:uiPriority w:val="39"/>
    <w:pPr>
      <w:ind w:left="1260" w:leftChars="600"/>
    </w:pPr>
    <w:rPr>
      <w:szCs w:val="20"/>
    </w:rPr>
  </w:style>
  <w:style w:type="paragraph" w:styleId="21">
    <w:name w:val="toc 2"/>
    <w:basedOn w:val="1"/>
    <w:next w:val="1"/>
    <w:qFormat/>
    <w:uiPriority w:val="39"/>
    <w:pPr>
      <w:tabs>
        <w:tab w:val="left" w:pos="840"/>
        <w:tab w:val="right" w:leader="dot" w:pos="8302"/>
      </w:tabs>
      <w:ind w:left="210"/>
      <w:jc w:val="left"/>
    </w:pPr>
    <w:rPr>
      <w:smallCaps/>
      <w:szCs w:val="20"/>
    </w:rPr>
  </w:style>
  <w:style w:type="character" w:styleId="23">
    <w:name w:val="page number"/>
    <w:basedOn w:val="22"/>
    <w:qFormat/>
    <w:uiPriority w:val="0"/>
  </w:style>
  <w:style w:type="character" w:styleId="24">
    <w:name w:val="Hyperlink"/>
    <w:basedOn w:val="22"/>
    <w:unhideWhenUsed/>
    <w:qFormat/>
    <w:uiPriority w:val="99"/>
    <w:rPr>
      <w:color w:val="0563C1" w:themeColor="hyperlink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页眉 Char"/>
    <w:basedOn w:val="22"/>
    <w:link w:val="18"/>
    <w:qFormat/>
    <w:uiPriority w:val="99"/>
    <w:rPr>
      <w:sz w:val="18"/>
      <w:szCs w:val="18"/>
    </w:rPr>
  </w:style>
  <w:style w:type="character" w:customStyle="1" w:styleId="28">
    <w:name w:val="页脚 Char"/>
    <w:basedOn w:val="22"/>
    <w:link w:val="17"/>
    <w:qFormat/>
    <w:uiPriority w:val="99"/>
    <w:rPr>
      <w:sz w:val="18"/>
      <w:szCs w:val="18"/>
    </w:rPr>
  </w:style>
  <w:style w:type="character" w:customStyle="1" w:styleId="29">
    <w:name w:val="标题 1 Char"/>
    <w:basedOn w:val="22"/>
    <w:link w:val="2"/>
    <w:qFormat/>
    <w:uiPriority w:val="0"/>
    <w:rPr>
      <w:rFonts w:ascii="宋体" w:hAnsi="宋体" w:eastAsia="宋体" w:cs="Times New Roman"/>
      <w:b/>
      <w:kern w:val="44"/>
      <w:sz w:val="28"/>
      <w:szCs w:val="36"/>
    </w:rPr>
  </w:style>
  <w:style w:type="character" w:customStyle="1" w:styleId="30">
    <w:name w:val="标题 2 Char"/>
    <w:basedOn w:val="22"/>
    <w:link w:val="5"/>
    <w:qFormat/>
    <w:uiPriority w:val="0"/>
    <w:rPr>
      <w:rFonts w:ascii="宋体" w:hAnsi="宋体" w:eastAsia="宋体" w:cs="Times New Roman"/>
      <w:b/>
      <w:sz w:val="24"/>
      <w:szCs w:val="30"/>
    </w:rPr>
  </w:style>
  <w:style w:type="character" w:customStyle="1" w:styleId="31">
    <w:name w:val="标题 3 Char"/>
    <w:basedOn w:val="22"/>
    <w:link w:val="6"/>
    <w:qFormat/>
    <w:uiPriority w:val="0"/>
    <w:rPr>
      <w:rFonts w:ascii="黑体" w:hAnsi="Times New Roman" w:eastAsia="黑体" w:cs="Times New Roman"/>
      <w:b/>
      <w:szCs w:val="21"/>
    </w:rPr>
  </w:style>
  <w:style w:type="character" w:customStyle="1" w:styleId="32">
    <w:name w:val="标题 4 Char"/>
    <w:basedOn w:val="22"/>
    <w:link w:val="7"/>
    <w:qFormat/>
    <w:uiPriority w:val="0"/>
    <w:rPr>
      <w:rFonts w:ascii="Times New Roman" w:hAnsi="Times New Roman" w:eastAsia="宋体" w:cs="Times New Roman"/>
      <w:b/>
      <w:szCs w:val="20"/>
    </w:rPr>
  </w:style>
  <w:style w:type="character" w:customStyle="1" w:styleId="33">
    <w:name w:val="标题 5 Char"/>
    <w:basedOn w:val="22"/>
    <w:link w:val="8"/>
    <w:qFormat/>
    <w:uiPriority w:val="0"/>
    <w:rPr>
      <w:rFonts w:ascii="Times New Roman" w:hAnsi="Times New Roman" w:eastAsia="宋体" w:cs="Times New Roman"/>
      <w:b/>
      <w:szCs w:val="20"/>
    </w:rPr>
  </w:style>
  <w:style w:type="character" w:customStyle="1" w:styleId="34">
    <w:name w:val="标题 6 Char"/>
    <w:basedOn w:val="22"/>
    <w:link w:val="9"/>
    <w:qFormat/>
    <w:uiPriority w:val="0"/>
    <w:rPr>
      <w:rFonts w:ascii="Arial" w:hAnsi="Arial" w:eastAsia="宋体" w:cs="Times New Roman"/>
      <w:i/>
      <w:kern w:val="0"/>
      <w:sz w:val="22"/>
      <w:szCs w:val="20"/>
    </w:rPr>
  </w:style>
  <w:style w:type="character" w:customStyle="1" w:styleId="35">
    <w:name w:val="标题 7 Char"/>
    <w:basedOn w:val="22"/>
    <w:link w:val="10"/>
    <w:qFormat/>
    <w:uiPriority w:val="0"/>
    <w:rPr>
      <w:rFonts w:ascii="Arial" w:hAnsi="Arial" w:eastAsia="宋体" w:cs="Times New Roman"/>
      <w:kern w:val="0"/>
      <w:sz w:val="24"/>
      <w:szCs w:val="20"/>
    </w:rPr>
  </w:style>
  <w:style w:type="character" w:customStyle="1" w:styleId="36">
    <w:name w:val="标题 8 Char"/>
    <w:basedOn w:val="22"/>
    <w:link w:val="11"/>
    <w:qFormat/>
    <w:uiPriority w:val="0"/>
    <w:rPr>
      <w:rFonts w:ascii="Arial" w:hAnsi="Arial" w:eastAsia="宋体" w:cs="Times New Roman"/>
      <w:i/>
      <w:kern w:val="0"/>
      <w:sz w:val="24"/>
      <w:szCs w:val="20"/>
    </w:rPr>
  </w:style>
  <w:style w:type="character" w:customStyle="1" w:styleId="37">
    <w:name w:val="标题 9 Char"/>
    <w:basedOn w:val="22"/>
    <w:link w:val="12"/>
    <w:qFormat/>
    <w:uiPriority w:val="0"/>
    <w:rPr>
      <w:rFonts w:ascii="Arial" w:hAnsi="Arial" w:eastAsia="宋体" w:cs="Times New Roman"/>
      <w:i/>
      <w:kern w:val="0"/>
      <w:sz w:val="18"/>
      <w:szCs w:val="20"/>
    </w:rPr>
  </w:style>
  <w:style w:type="character" w:customStyle="1" w:styleId="38">
    <w:name w:val="正文文本 Char"/>
    <w:basedOn w:val="22"/>
    <w:link w:val="13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9">
    <w:name w:val="正文首行缩进 Char"/>
    <w:basedOn w:val="38"/>
    <w:link w:val="3"/>
    <w:qFormat/>
    <w:uiPriority w:val="0"/>
    <w:rPr>
      <w:rFonts w:ascii="Times New Roman" w:hAnsi="Times New Roman" w:eastAsia="宋体" w:cs="Times New Roman"/>
      <w:color w:val="0000FF"/>
      <w:szCs w:val="24"/>
    </w:rPr>
  </w:style>
  <w:style w:type="character" w:customStyle="1" w:styleId="40">
    <w:name w:val="日期 Char"/>
    <w:basedOn w:val="22"/>
    <w:link w:val="15"/>
    <w:semiHidden/>
    <w:qFormat/>
    <w:uiPriority w:val="99"/>
    <w:rPr>
      <w:rFonts w:ascii="Times New Roman" w:hAnsi="Times New Roman" w:eastAsia="宋体" w:cs="Times New Roman"/>
      <w:kern w:val="2"/>
      <w:sz w:val="21"/>
      <w:szCs w:val="24"/>
    </w:rPr>
  </w:style>
  <w:style w:type="character" w:customStyle="1" w:styleId="41">
    <w:name w:val="批注框文本 Char"/>
    <w:basedOn w:val="22"/>
    <w:link w:val="16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1698</Words>
  <Characters>9681</Characters>
  <Lines>80</Lines>
  <Paragraphs>22</Paragraphs>
  <ScaleCrop>false</ScaleCrop>
  <LinksUpToDate>false</LinksUpToDate>
  <CharactersWithSpaces>11357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2019-01-10T20:02:00Z</dcterms:created>
  <dc:creator>58317</dc:creator>
  <cp:lastModifiedBy>huanliu</cp:lastModifiedBy>
  <dcterms:modified xsi:type="dcterms:W3CDTF">2020-02-25T15:26:44Z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