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0" w:name="_Toc18837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网易云评论模块PRD</w:t>
      </w:r>
      <w:bookmarkEnd w:id="0"/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tbl>
      <w:tblPr>
        <w:tblStyle w:val="6"/>
        <w:tblpPr w:leftFromText="180" w:rightFromText="180" w:vertAnchor="text" w:horzAnchor="page" w:tblpX="2281" w:tblpY="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591"/>
        <w:gridCol w:w="1591"/>
        <w:gridCol w:w="1592"/>
        <w:gridCol w:w="1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修改描述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2020.4.24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文档撰写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刘航旭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_Toc18837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52"/>
          <w:lang w:val="en-US" w:eastAsia="zh-CN"/>
        </w:rPr>
        <w:t>网易云评论模块PRD</w:t>
      </w:r>
      <w:r>
        <w:tab/>
      </w:r>
      <w:r>
        <w:fldChar w:fldCharType="begin"/>
      </w:r>
      <w:r>
        <w:instrText xml:space="preserve"> PAGEREF _Toc18837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_Toc4538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一、 概述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_Toc12907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1. 模块介绍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_Toc32551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2. 用户人群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_Toc32252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3. 名词说明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_Toc15895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二、 需求概述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_Toc17637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三、结构图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_Toc9288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1. 功能结构图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_Toc3877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信息结构图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_Toc17968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3.使用流程图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_Toc16922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val="en-US" w:eastAsia="zh-CN"/>
        </w:rPr>
        <w:t>4.交互原型及描述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instrText xml:space="preserve"> HYPERLINK \l _Toc4967 </w:instrText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四、数据统计需求</w:t>
      </w:r>
      <w:r>
        <w:tab/>
      </w:r>
      <w:r>
        <w:fldChar w:fldCharType="begin"/>
      </w:r>
      <w:r>
        <w:instrText xml:space="preserve"> PAGEREF _Toc4967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1" w:name="_Toc4538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概述</w:t>
      </w:r>
      <w:bookmarkEnd w:id="1"/>
    </w:p>
    <w:p>
      <w:pPr>
        <w:numPr>
          <w:ilvl w:val="0"/>
          <w:numId w:val="2"/>
        </w:numPr>
        <w:ind w:firstLine="420" w:firstLine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2" w:name="_Toc12907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模块介绍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网易云评论模块属于网易云独居特色的功能模块之一，以打造社交化的音乐社区为目标，通过评论区等模块将其实现。2017年将网易云音乐5000条优选感人评论印满一些的城市地铁，将网易云评论区影响力进一步加大，更加具有特色。</w:t>
      </w:r>
    </w:p>
    <w:p>
      <w:pPr>
        <w:numPr>
          <w:ilvl w:val="0"/>
          <w:numId w:val="2"/>
        </w:numPr>
        <w:ind w:left="0" w:leftChars="0" w:firstLine="420" w:firstLine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3" w:name="_Toc32551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用户人群</w:t>
      </w:r>
      <w:bookmarkEnd w:id="3"/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热爱音乐，对音乐有社交化需求的年轻群体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评论区用户分成三类①表达型用户：乐于发表自己想法，对于别的用户的回复没有太大的兴趣②交流型用户：喜欢发布评论，同时乐于回复被人的评论，希望其他用户肯定自己的想法③体验型用户：对于发布评论不是很感兴趣，喜欢浏览评论，从评论中获得情感上的认同</w:t>
      </w:r>
    </w:p>
    <w:p>
      <w:pPr>
        <w:numPr>
          <w:ilvl w:val="0"/>
          <w:numId w:val="2"/>
        </w:numPr>
        <w:ind w:left="0" w:leftChars="0" w:firstLine="420" w:firstLine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4" w:name="_Toc32252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名词说明</w:t>
      </w:r>
      <w:bookmarkEnd w:id="4"/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同步动态：将评论在发布的同时分享到动态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贴纸：作为评论背景装饰品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精选评论：点赞数在前10%的评论内容分类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用户信息：展示评论者的头像与名称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评论内容：包括上传的文字、贴纸、表情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5" w:name="_Toc15895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需求概述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092"/>
        <w:gridCol w:w="4454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发布评论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通过输入框，将评论内容上传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回复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通过输入框回复评论区评论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点赞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对评论内容发表态度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删除自己发布的评论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分享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将评论进行分享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复制评论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复制评论内容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0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举报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举报评论内容</w:t>
            </w:r>
          </w:p>
        </w:tc>
        <w:tc>
          <w:tcPr>
            <w:tcW w:w="21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</w:tr>
    </w:tbl>
    <w:p>
      <w:pPr>
        <w:jc w:val="both"/>
        <w:outlineLvl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6" w:name="_Toc17637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三、结构图</w:t>
      </w:r>
      <w:bookmarkEnd w:id="6"/>
    </w:p>
    <w:p>
      <w:pPr>
        <w:numPr>
          <w:ilvl w:val="0"/>
          <w:numId w:val="3"/>
        </w:numPr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7" w:name="_Toc9288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功能结构图</w:t>
      </w:r>
      <w:bookmarkEnd w:id="7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21610"/>
            <wp:effectExtent l="0" t="0" r="127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bookmarkStart w:id="8" w:name="_Toc3877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信息结构图</w:t>
      </w:r>
      <w:bookmarkEnd w:id="8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235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9" w:name="_Toc17968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3.使用流程图</w:t>
      </w:r>
      <w:bookmarkEnd w:id="9"/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22545" cy="4723130"/>
            <wp:effectExtent l="0" t="0" r="13335" b="1270"/>
            <wp:docPr id="5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10" w:name="_Toc16922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4.交互原型及描述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①评论列表页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117090" cy="4206240"/>
            <wp:effectExtent l="0" t="0" r="127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8102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1370" cy="4185285"/>
            <wp:effectExtent l="0" t="0" r="127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r="3818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tbl>
      <w:tblPr>
        <w:tblStyle w:val="6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当用户点进评论区准备进行评论以及表达想法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在评论区发布想法，以及表示对其他的评论的赞成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·评论展示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在评论区可以看到歌曲信息，评论信息，评论分区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上方显示评论的总数量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下方的评论分区，分成精彩评论以及全部评论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在评论区中显示评论的用户信息以及评论内容，包括评论的点赞数量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·发布评论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用户点击下方输入框，弹出键盘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输入文字，点击贴纸或者笑脸的图标插入表情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选择下方方框，将评论同步到动态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点击右下方的发送按钮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·点赞评论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点击评论的右方的点赞符号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②评论复制删除界面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73860" cy="3297555"/>
            <wp:effectExtent l="0" t="0" r="254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926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5445" cy="334772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3818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8000" cy="3375660"/>
            <wp:effectExtent l="0" t="0" r="508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tbl>
      <w:tblPr>
        <w:tblStyle w:val="6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当用户在评论区对自己的评论或其他评论进行操作时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在评论区对其他评论进行复制、回复等操作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·回复评论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点击评论区的评论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弹出评论操作框：显示四种操作：回复、分享、复制、举报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在输入框中输入内容（与发布评论操作相同）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点击发送回复成功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·复制评论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点击评论区的评论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弹出评论操作框：显示四种操作：回复、分享、复制、举报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选择复制评论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弹出半透明已复制到剪贴板的提示框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1s后弹框消失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③分享评论界面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73860" cy="3297555"/>
            <wp:effectExtent l="0" t="0" r="254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r="926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1480" cy="3345815"/>
            <wp:effectExtent l="0" t="0" r="10160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tbl>
      <w:tblPr>
        <w:tblStyle w:val="6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当用户在评论区对自己的评论或其他评论进行操作时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在评论区对其他评论进行分享等操作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·分享评论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点击评论区的评论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弹出评论操作框：显示四种操作：回复、分享、复制、举报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点击分享评论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下方弹出分享弹框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弹框包括云音乐动态、私信、复制链接以及其他APP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选择分享位置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界面弹到选择的位置进行继续的操作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④举报评论界面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73860" cy="3297555"/>
            <wp:effectExtent l="0" t="0" r="254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rcRect r="926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5445" cy="3331210"/>
            <wp:effectExtent l="0" t="0" r="5715" b="635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tbl>
      <w:tblPr>
        <w:tblStyle w:val="6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当用户在评论区对自己的评论或其他评论进行操作时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在评论区对其他评论进行举报等操作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·举报评论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点击评论区的评论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弹出评论操作框：显示四种操作：回复、分享、复制、举报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点击举报评论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弹出分享弹框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选择举报类别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包括六种类别，点击右下方可以显示评论区规则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举报之后根据后台审核通过私信进行反馈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⑤删除评论模块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131060" cy="4198620"/>
            <wp:effectExtent l="0" t="0" r="2540" b="762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5040" cy="4222115"/>
            <wp:effectExtent l="0" t="0" r="0" b="1460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tbl>
      <w:tblPr>
        <w:tblStyle w:val="6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当用户在评论区对自己的评论进行操作时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在评论区对自己评论进行删除等操作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·删除评论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点击评论区自己发的评论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弹出评论操作框：显示四种操作：回复、分享、复制、删除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点击删除评论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将自己评论删除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下方弹出半透明删除的提示弹框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提示已经删除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1s后弹框消失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085" w:type="dxa"/>
            <w:shd w:val="clear" w:color="auto" w:fill="BEBEB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  <w:bookmarkStart w:id="11" w:name="_Toc4967"/>
      <w:r>
        <w:rPr>
          <w:rFonts w:hint="eastAsia"/>
          <w:lang w:val="en-US" w:eastAsia="zh-CN"/>
        </w:rPr>
        <w:t>四、数据统计需求</w:t>
      </w:r>
      <w:bookmarkEnd w:id="11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lang w:val="en-US" w:eastAsia="zh-CN"/>
        </w:rPr>
      </w:pPr>
      <w:bookmarkStart w:id="12" w:name="_Toc6096"/>
      <w:r>
        <w:rPr>
          <w:rFonts w:hint="eastAsia"/>
          <w:lang w:val="en-US" w:eastAsia="zh-CN"/>
        </w:rPr>
        <w:t>评论区新增评论数（按日、月统计）</w:t>
      </w:r>
      <w:bookmarkEnd w:id="12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lang w:val="en-US" w:eastAsia="zh-CN"/>
        </w:rPr>
      </w:pPr>
      <w:bookmarkStart w:id="13" w:name="_Toc2905"/>
      <w:r>
        <w:rPr>
          <w:rFonts w:hint="eastAsia"/>
          <w:lang w:val="en-US" w:eastAsia="zh-CN"/>
        </w:rPr>
        <w:t>评论区活跃用户（按日、月统计）</w:t>
      </w:r>
      <w:bookmarkEnd w:id="13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lang w:val="en-US" w:eastAsia="zh-CN"/>
        </w:rPr>
      </w:pPr>
      <w:bookmarkStart w:id="14" w:name="_Toc12642"/>
      <w:r>
        <w:rPr>
          <w:rFonts w:hint="eastAsia"/>
          <w:lang w:val="en-US" w:eastAsia="zh-CN"/>
        </w:rPr>
        <w:t>评论区分享评论次数（按日、月统计）</w:t>
      </w:r>
      <w:bookmarkEnd w:id="14"/>
    </w:p>
    <w:p>
      <w:bookmarkStart w:id="15" w:name="_GoBack"/>
      <w:bookmarkEnd w:id="15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aqKiq4BAABLAwAADgAAAGRycy9lMm9Eb2MueG1srVPNThsxEL5X4h0s&#10;34mXIFX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7IeW5PH2KNWY8B89Jw5Qcc8+iP6MyqBwU2f1EP&#10;wTg2entsrhwSEfnRbDqbVRgSGBsviM9engeI6VZ6S7LRUMDplabyzbeY9qljSq7m/I02pkzQuDcO&#10;xMwelrnvOWYrDcvhIGjp2y3q6XHwDXW4mZSYO4d9zTsyGjAay9FYB9CrrixRrhfD5TohicItV9jD&#10;HgrjxIq6w3bllXh9L1kv/8Di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RqoqKrgEAAEsD&#10;AAAOAAAAAAAAAAEAIAAAAB4BAABkcnMvZTJvRG9jLnhtbFBLBQYAAAAABgAGAFkBAAA+BQAAAAA=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1D870"/>
    <w:multiLevelType w:val="singleLevel"/>
    <w:tmpl w:val="A741D8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515A3C"/>
    <w:multiLevelType w:val="singleLevel"/>
    <w:tmpl w:val="B9515A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2D995F"/>
    <w:multiLevelType w:val="singleLevel"/>
    <w:tmpl w:val="552D9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2020-04-28T04:33:56Z</dcterms:created>
  <dc:creator>DELL</dc:creator>
  <cp:lastModifiedBy>ΕλπριΟ άντρας της</cp:lastModifiedBy>
  <dcterms:modified xsi:type="dcterms:W3CDTF">2020-04-28T04:34:08Z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