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OPC 知乎归因引擎测试指南</w:t>
      </w:r>
    </w:p>
    <w:p>
      <w:r>
        <w:rPr>
          <w:color w:val="000000"/>
        </w:rPr>
        <w:t>版本日期：2026 年 9 月 13 日。测试分支：</w:t>
      </w:r>
      <w:r>
        <w:rPr>
          <w:rFonts w:ascii="Consolas" w:hAnsi="Consolas"/>
          <w:color w:val="000000"/>
          <w:sz w:val="20"/>
        </w:rPr>
        <w:t>codex/zhihu-attribution-test</w:t>
      </w:r>
      <w:r>
        <w:rPr>
          <w:color w:val="000000"/>
        </w:rPr>
        <w:t>。适用对象：负责功能验收和问题复现的协作者。</w:t>
      </w:r>
    </w:p>
    <w:p>
      <w:r>
        <w:rPr>
          <w:color w:val="000000"/>
        </w:rPr>
        <w:t>本次测试验证知乎模块的独占关键词、任务报价、报告归因、作品核验和应付对账。OPC 仍是聚合平台，知乎只是其中一个模块。先完成下面的隔离演练，再安排真实 Excel 的口径抽样；合成样本通过不等于生产验收完成。</w:t>
      </w:r>
    </w:p>
    <w:p>
      <w:pPr>
        <w:pStyle w:val="Heading1"/>
      </w:pPr>
      <w:r>
        <w:t>1 获取代码和启动环境</w:t>
      </w:r>
    </w:p>
    <w:p>
      <w:r>
        <w:rPr>
          <w:color w:val="000000"/>
        </w:rPr>
        <w:t>准备 Git、Node.js 24.x、pnpm 9.15.0，以及已启动的 Docker Desktop（Linux 容器）。</w:t>
      </w:r>
      <w:r>
        <w:rPr>
          <w:rFonts w:ascii="Consolas" w:hAnsi="Consolas"/>
          <w:color w:val="000000"/>
          <w:sz w:val="20"/>
        </w:rPr>
        <w:t>docker version</w:t>
      </w:r>
      <w:r>
        <w:rPr>
          <w:color w:val="000000"/>
        </w:rPr>
        <w:t xml:space="preserve"> 必须能同时显示 Client 和 Server；只看到 Client 或请求超时，先恢复 Docker 再继续。</w:t>
      </w:r>
    </w:p>
    <w:p>
      <w:r>
        <w:rPr>
          <w:color w:val="000000"/>
        </w:rPr>
        <w:t>首次获取代码，在自己选择的开发目录执行：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git clone --branch codex/zhihu-attribution-test `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 xml:space="preserve">  https://github.com/Ashleymmy/zhihu.git zhihu-attribution-test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cd zhihu-attribution-test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pnpm install --frozen-lockfile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npm --prefix server ci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pnpm build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docker pull mysql:8.0</w:t>
      </w:r>
    </w:p>
    <w:p>
      <w:pPr>
        <w:keepNext w:val="0"/>
        <w:spacing w:after="180" w:line="252" w:lineRule="auto"/>
      </w:pPr>
      <w:r>
        <w:rPr>
          <w:rFonts w:ascii="Consolas" w:hAnsi="Consolas"/>
          <w:sz w:val="18"/>
        </w:rPr>
        <w:t>npm --prefix server run demo:attribution</w:t>
      </w:r>
    </w:p>
    <w:p>
      <w:r>
        <w:rPr>
          <w:color w:val="000000"/>
        </w:rPr>
        <w:t xml:space="preserve">已有仓库时，先保留自己的未提交改动，然后执行 </w:t>
      </w:r>
      <w:r>
        <w:rPr>
          <w:rFonts w:ascii="Consolas" w:hAnsi="Consolas"/>
          <w:color w:val="000000"/>
          <w:sz w:val="20"/>
        </w:rPr>
        <w:t>git fetch origin</w:t>
      </w:r>
      <w:r>
        <w:rPr>
          <w:color w:val="000000"/>
        </w:rPr>
        <w:t xml:space="preserve">，切换并跟踪 </w:t>
      </w:r>
      <w:r>
        <w:rPr>
          <w:rFonts w:ascii="Consolas" w:hAnsi="Consolas"/>
          <w:color w:val="000000"/>
          <w:sz w:val="20"/>
        </w:rPr>
        <w:t>origin/codex/zhihu-attribution-test</w:t>
      </w:r>
      <w:r>
        <w:rPr>
          <w:color w:val="000000"/>
        </w:rPr>
        <w:t>。不要将未提交工作直接覆盖掉。前端由 pnpm 管理，server 独立使用 npm，安装命令两条都要执行。</w:t>
      </w:r>
    </w:p>
    <w:p>
      <w:r>
        <w:rPr>
          <w:color w:val="000000"/>
        </w:rPr>
        <w:t>启动器每次创建全新的隔离 MySQL，运行增量迁移，模拟上游创建成功；使用真实应用接口、权限和业务服务。它不使用业务库的连接配置，也不需要真实知乎密钥。等待终端出现“OPC 知乎隔离演练已就绪”，再打开打印的地址。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384"/>
        <w:gridCol w:w="1440"/>
        <w:gridCol w:w="3024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</w:pPr>
            <w:r>
              <w:rPr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19"/>
              </w:rPr>
              <w:t>登录地址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19"/>
              </w:rPr>
              <w:t>账号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19"/>
              </w:rPr>
              <w:t>密码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19"/>
              </w:rPr>
              <w:t>管理员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19"/>
              </w:rPr>
              <w:t xml:space="preserve">终端中的 </w:t>
            </w:r>
            <w:r>
              <w:rPr>
                <w:rFonts w:ascii="Consolas" w:hAnsi="Consolas"/>
                <w:color w:val="000000"/>
                <w:sz w:val="19"/>
              </w:rPr>
              <w:t>/admin/login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admin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isolated_password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19"/>
              </w:rPr>
              <w:t>团长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19"/>
              </w:rPr>
              <w:t xml:space="preserve">同端口 </w:t>
            </w:r>
            <w:r>
              <w:rPr>
                <w:rFonts w:ascii="Consolas" w:hAnsi="Consolas"/>
                <w:color w:val="000000"/>
                <w:sz w:val="19"/>
              </w:rPr>
              <w:t>/leader/login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leader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isolated_password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19"/>
              </w:rPr>
              <w:t>达人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19"/>
              </w:rPr>
              <w:t xml:space="preserve">同端口 </w:t>
            </w:r>
            <w:r>
              <w:rPr>
                <w:rFonts w:ascii="Consolas" w:hAnsi="Consolas"/>
                <w:color w:val="000000"/>
                <w:sz w:val="19"/>
              </w:rPr>
              <w:t>/creator/login</w:t>
            </w:r>
          </w:p>
        </w:tc>
        <w:tc>
          <w:tcPr>
            <w:tcW w:type="dxa" w:w="14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creator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isolated_password</w:t>
            </w:r>
          </w:p>
        </w:tc>
      </w:tr>
    </w:tbl>
    <w:p>
      <w:pPr>
        <w:spacing w:after="0" w:before="0" w:line="60" w:lineRule="exact"/>
      </w:pPr>
    </w:p>
    <w:p>
      <w:r>
        <w:rPr>
          <w:color w:val="000000"/>
        </w:rPr>
        <w:t>端口由系统分配，不固定为开发者电脑的 58407。</w:t>
      </w:r>
      <w:r>
        <w:rPr>
          <w:rFonts w:ascii="Consolas" w:hAnsi="Consolas"/>
          <w:color w:val="000000"/>
          <w:sz w:val="20"/>
        </w:rPr>
        <w:t>127.0.0.1</w:t>
      </w:r>
      <w:r>
        <w:rPr>
          <w:color w:val="000000"/>
        </w:rPr>
        <w:t xml:space="preserve"> 指你自己的电脑，不能用于访问另一位同事的环境。三种身份可以依次退出后登录，也可以使用独立浏览器配置文件并排测试。</w:t>
      </w:r>
    </w:p>
    <w:p>
      <w:r>
        <w:rPr>
          <w:color w:val="000000"/>
        </w:rPr>
        <w:t xml:space="preserve">保留启动终端。输入 </w:t>
      </w:r>
      <w:r>
        <w:rPr>
          <w:rFonts w:ascii="Consolas" w:hAnsi="Consolas"/>
          <w:color w:val="000000"/>
          <w:sz w:val="20"/>
        </w:rPr>
        <w:t>q</w:t>
      </w:r>
      <w:r>
        <w:rPr>
          <w:color w:val="000000"/>
        </w:rPr>
        <w:t xml:space="preserve"> 后回车或按 Ctrl+C 结束，启动器会删除本次临时数据库。日志、报表和 </w:t>
      </w:r>
      <w:r>
        <w:rPr>
          <w:rFonts w:ascii="Consolas" w:hAnsi="Consolas"/>
          <w:color w:val="000000"/>
          <w:sz w:val="20"/>
        </w:rPr>
        <w:t>session.json</w:t>
      </w:r>
      <w:r>
        <w:rPr>
          <w:color w:val="000000"/>
        </w:rPr>
        <w:t xml:space="preserve"> 保留在终端打印的 </w:t>
      </w:r>
      <w:r>
        <w:rPr>
          <w:rFonts w:ascii="Consolas" w:hAnsi="Consolas"/>
          <w:color w:val="000000"/>
          <w:sz w:val="20"/>
        </w:rPr>
        <w:t>.opc-work/attribution-demo/&lt;本次目录&gt;/</w:t>
      </w:r>
      <w:r>
        <w:rPr>
          <w:color w:val="000000"/>
        </w:rPr>
        <w:t>。重新启动会得到新数据库、新端口和新的样本目录。</w:t>
      </w:r>
    </w:p>
    <w:p>
      <w:pPr>
        <w:pStyle w:val="Heading1"/>
      </w:pPr>
      <w:r>
        <w:t>2 预置数据和正确入口</w:t>
      </w:r>
    </w:p>
    <w:p>
      <w:r>
        <w:rPr>
          <w:color w:val="000000"/>
        </w:rPr>
        <w:t xml:space="preserve">进入“知乎 → 归因与对账”，再选择“报告与归因”。页面地址以 </w:t>
      </w:r>
      <w:r>
        <w:rPr>
          <w:rFonts w:ascii="Consolas" w:hAnsi="Consolas"/>
          <w:color w:val="000000"/>
          <w:sz w:val="20"/>
        </w:rPr>
        <w:t>/admin/modules/zhihu/keywords</w:t>
      </w:r>
      <w:r>
        <w:rPr>
          <w:color w:val="000000"/>
        </w:rPr>
        <w:t xml:space="preserve"> 为入口。不要把新模拟文件提交到“历史邮件 / Excel 导入”；该页用于旧链路及旧记录查询。</w:t>
      </w:r>
    </w:p>
    <w:p>
      <w:r>
        <w:rPr>
          <w:color w:val="000000"/>
        </w:rPr>
        <w:t>启动器已创建项目“知乎历史业务”、接入账号“知乎历史接入”、渠道“测试渠道”和任务“测试任务”。这两个“历史”名称来自空库初始化，它们在本次演练中均属于隔离库。</w:t>
      </w:r>
    </w:p>
    <w:p>
      <w:pPr>
        <w:ind w:left="245" w:hanging="245"/>
      </w:pPr>
      <w:r>
        <w:rPr>
          <w:color w:val="000000"/>
        </w:rPr>
        <w:t>• “模拟独占词甲”和“模拟独占词乙”已由团长领取，分配给达人并声明使用。</w:t>
      </w:r>
    </w:p>
    <w:p>
      <w:pPr>
        <w:ind w:left="245" w:hanging="245"/>
      </w:pPr>
      <w:r>
        <w:rPr>
          <w:color w:val="000000"/>
        </w:rPr>
        <w:t>• 代理给团长的任务报价为 15 元/单，团长给达人的报价为 13 元/单；两词共用同一任务报价。</w:t>
      </w:r>
    </w:p>
    <w:p>
      <w:pPr>
        <w:ind w:left="245" w:hanging="245"/>
      </w:pPr>
      <w:r>
        <w:rPr>
          <w:color w:val="000000"/>
        </w:rPr>
        <w:t>• 新引擎从本次启动的上海业务日期进入“试算”模式；尚未导入报告、登记作品或确认应付。</w:t>
      </w:r>
    </w:p>
    <w:p>
      <w:pPr>
        <w:ind w:left="245" w:hanging="245"/>
      </w:pPr>
      <w:r>
        <w:rPr>
          <w:color w:val="000000"/>
        </w:rPr>
        <w:t xml:space="preserve">• 两个绑定编号见关键词列表及 </w:t>
      </w:r>
      <w:r>
        <w:rPr>
          <w:rFonts w:ascii="Consolas" w:hAnsi="Consolas"/>
          <w:color w:val="000000"/>
          <w:sz w:val="20"/>
        </w:rPr>
        <w:t>session.json</w:t>
      </w:r>
      <w:r>
        <w:rPr>
          <w:color w:val="000000"/>
        </w:rPr>
        <w:t>。不要把关键词编号、绑定编号和归因编号混用。</w:t>
      </w:r>
    </w:p>
    <w:p>
      <w:r>
        <w:rPr>
          <w:color w:val="000000"/>
        </w:rPr>
        <w:t xml:space="preserve">报告目录提供两个文件：先用 </w:t>
      </w:r>
      <w:r>
        <w:rPr>
          <w:rFonts w:ascii="Consolas" w:hAnsi="Consolas"/>
          <w:color w:val="000000"/>
          <w:sz w:val="20"/>
        </w:rPr>
        <w:t>01-首次报告100单.xlsx</w:t>
      </w:r>
      <w:r>
        <w:rPr>
          <w:color w:val="000000"/>
        </w:rPr>
        <w:t xml:space="preserve">，完成首次对账后再用 </w:t>
      </w:r>
      <w:r>
        <w:rPr>
          <w:rFonts w:ascii="Consolas" w:hAnsi="Consolas"/>
          <w:color w:val="000000"/>
          <w:sz w:val="20"/>
        </w:rPr>
        <w:t>02-修订报告90单.xlsx</w:t>
      </w:r>
      <w:r>
        <w:rPr>
          <w:color w:val="000000"/>
        </w:rPr>
        <w:t>。每次启动请使用本次生成的文件，不要沿用以前演练的旧日期文件。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1800"/>
        <w:gridCol w:w="1800"/>
        <w:gridCol w:w="2664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</w:pPr>
            <w:r>
              <w:rPr>
                <w:b/>
                <w:color w:val="000000"/>
                <w:sz w:val="20"/>
              </w:rPr>
              <w:t>文件与关键词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搜索量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订单量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搜索转化率原值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首次报告 词甲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600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60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首次报告 词乙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400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40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修订报告 词甲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600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54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修订报告 词乙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400</w:t>
            </w:r>
          </w:p>
        </w:tc>
        <w:tc>
          <w:tcPr>
            <w:tcW w:type="dxa" w:w="18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36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9</w:t>
            </w:r>
          </w:p>
        </w:tc>
      </w:tr>
    </w:tbl>
    <w:p>
      <w:pPr>
        <w:spacing w:after="0" w:before="0" w:line="60" w:lineRule="exact"/>
      </w:pPr>
    </w:p>
    <w:p>
      <w:r>
        <w:rPr>
          <w:color w:val="000000"/>
        </w:rPr>
        <w:t>表头依次为：日期时间、渠道名称、关键词、推广任务、风险判定、搜索量、订单量、搜索转化率（单位%）。风险判定为空，没有收益列。10 表示原表单位下的 10%；转化率仅用于展示，不参与计费。</w:t>
      </w:r>
    </w:p>
    <w:p>
      <w:pPr>
        <w:pStyle w:val="Heading1"/>
      </w:pPr>
      <w:r>
        <w:t>3 首次导入和金额核对</w:t>
      </w:r>
    </w:p>
    <w:p>
      <w:pPr>
        <w:ind w:left="317" w:hanging="317"/>
      </w:pPr>
      <w:r>
        <w:rPr>
          <w:color w:val="000000"/>
        </w:rPr>
        <w:t>1. 管理员打开“报告与归因”，选择“综合反馈报告（搜索量＋订单量）”，上传首次报告。</w:t>
      </w:r>
    </w:p>
    <w:p>
      <w:pPr>
        <w:ind w:left="317" w:hanging="317"/>
      </w:pPr>
      <w:r>
        <w:rPr>
          <w:color w:val="000000"/>
        </w:rPr>
        <w:t>2. 点击“上传并预览”。应识别到 2 行，日期与本次启动日期相同，订单分别为 60、40，风险和来源收益显示未提供。</w:t>
      </w:r>
    </w:p>
    <w:p>
      <w:pPr>
        <w:ind w:left="317" w:hanging="317"/>
      </w:pPr>
      <w:r>
        <w:rPr>
          <w:color w:val="000000"/>
        </w:rPr>
        <w:t>3. 点击“确认导入全部有效行”，等待处理后刷新。应形成 2 条归因结果，归属为同一团长及其达人，合计 100 单；不能出现平均分配或质量加权结果。</w:t>
      </w:r>
    </w:p>
    <w:p>
      <w:pPr>
        <w:ind w:left="317" w:hanging="317"/>
      </w:pPr>
      <w:r>
        <w:rPr>
          <w:color w:val="000000"/>
        </w:rPr>
        <w:t>4. 分别登录三端核对金额及可见范围。首次作品尚未核验，此时应付对账不能确认。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2088"/>
        <w:gridCol w:w="2088"/>
        <w:gridCol w:w="2232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</w:pPr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词甲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词乙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代理应付团长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900 元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600 元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1,500 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团长应付达人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780 元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520 元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1,300 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团长毛差价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120 元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80 元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200 元</w:t>
            </w:r>
          </w:p>
        </w:tc>
      </w:tr>
    </w:tbl>
    <w:p>
      <w:pPr>
        <w:spacing w:after="0" w:before="0" w:line="60" w:lineRule="exact"/>
      </w:pPr>
    </w:p>
    <w:p>
      <w:r>
        <w:rPr>
          <w:color w:val="000000"/>
        </w:rPr>
        <w:t xml:space="preserve">金额界面可能显示四位小数，例如 </w:t>
      </w:r>
      <w:r>
        <w:rPr>
          <w:rFonts w:ascii="Consolas" w:hAnsi="Consolas"/>
          <w:color w:val="000000"/>
          <w:sz w:val="20"/>
        </w:rPr>
        <w:t>900.0000</w:t>
      </w:r>
      <w:r>
        <w:rPr>
          <w:color w:val="000000"/>
        </w:rPr>
        <w:t>。代理成本是 1,500 元，不是两层相加后的 2,800 元。由于报告没有来源收益，代理毛差价应显示“无法计算”，不能推算成 500 元。达人只能看到自己的应付及报价，不能从页面或接口响应看到上游的 15 元报价和代理成本。</w:t>
      </w:r>
    </w:p>
    <w:p>
      <w:pPr>
        <w:pStyle w:val="Heading1"/>
      </w:pPr>
      <w:r>
        <w:t>4 作品核验和逐层确认</w:t>
      </w:r>
    </w:p>
    <w:p>
      <w:pPr>
        <w:ind w:left="317" w:hanging="317"/>
      </w:pPr>
      <w:r>
        <w:rPr>
          <w:color w:val="000000"/>
        </w:rPr>
        <w:t xml:space="preserve">1. 达人打开“作品与对账”，分别为两个绑定登记作品。演练可用 </w:t>
      </w:r>
      <w:r>
        <w:rPr>
          <w:rFonts w:ascii="Consolas" w:hAnsi="Consolas"/>
          <w:color w:val="000000"/>
          <w:sz w:val="20"/>
        </w:rPr>
        <w:t>https://example.com/demo/a</w:t>
      </w:r>
      <w:r>
        <w:rPr>
          <w:color w:val="000000"/>
        </w:rPr>
        <w:t xml:space="preserve"> 和 </w:t>
      </w:r>
      <w:r>
        <w:rPr>
          <w:rFonts w:ascii="Consolas" w:hAnsi="Consolas"/>
          <w:color w:val="000000"/>
          <w:sz w:val="20"/>
        </w:rPr>
        <w:t>https://example.com/demo/b</w:t>
      </w:r>
      <w:r>
        <w:rPr>
          <w:color w:val="000000"/>
        </w:rPr>
        <w:t>，使用说明写“隔离模拟作品”。这里验证人工佐证流程，系统不会自动抓取这些链接。</w:t>
      </w:r>
    </w:p>
    <w:p>
      <w:pPr>
        <w:ind w:left="317" w:hanging="317"/>
      </w:pPr>
      <w:r>
        <w:rPr>
          <w:color w:val="000000"/>
        </w:rPr>
        <w:t>2. 团长刷新作品列表，逐条点击“核验或争议”，填写“隔离演练核对关键词与执行人”，点击“通过核验”。管理员也有核验权限；核验自己的作品必须交给管理员。</w:t>
      </w:r>
    </w:p>
    <w:p>
      <w:pPr>
        <w:ind w:left="317" w:hanging="317"/>
      </w:pPr>
      <w:r>
        <w:rPr>
          <w:color w:val="000000"/>
        </w:rPr>
        <w:t>3. 管理员在“试算与切换”中保持原起始日期，选择“启用对账确认”。依据填写“仅隔离库合成样本演练”，勾选核对项后保存。这个操作只用于隔离测试，不表示真实报告或生产环境已经验收。</w:t>
      </w:r>
    </w:p>
    <w:p>
      <w:pPr>
        <w:ind w:left="317" w:hanging="317"/>
      </w:pPr>
      <w:r>
        <w:rPr>
          <w:color w:val="000000"/>
        </w:rPr>
        <w:t>4. 团长在“作品与对账”将账期起止日均设为本次业务日期，点击“按账期生成草稿”。应出现本人付款给达人的两条草稿，金额 780 元、520 元。选中后确认。</w:t>
      </w:r>
    </w:p>
    <w:p>
      <w:pPr>
        <w:ind w:left="317" w:hanging="317"/>
      </w:pPr>
      <w:r>
        <w:rPr>
          <w:color w:val="000000"/>
        </w:rPr>
        <w:t>5. 管理员按相同账期生成自己应付团长的两条草稿，金额 900 元、600 元，再选中确认。代理层必须在团长对达人核对完成后确认。</w:t>
      </w:r>
    </w:p>
    <w:p>
      <w:pPr>
        <w:ind w:left="317" w:hanging="317"/>
      </w:pPr>
      <w:r>
        <w:rPr>
          <w:color w:val="000000"/>
        </w:rPr>
        <w:t>6. 达人刷新，合计已确认应付应为 1,300 元。记录状态为“已确认”，不是已付款；公共余额、提现和实际打款不属于本次流程。</w:t>
      </w:r>
    </w:p>
    <w:p>
      <w:pPr>
        <w:pStyle w:val="Heading1"/>
      </w:pPr>
      <w:r>
        <w:t>5 来源修订和差额调整</w:t>
      </w:r>
    </w:p>
    <w:p>
      <w:r>
        <w:rPr>
          <w:color w:val="000000"/>
        </w:rPr>
        <w:t>必须先完成上一节的首次确认，才能验证“保留旧账并生成调整”。如果在首次确认前导入修订，只能验证草稿更新。</w:t>
      </w:r>
    </w:p>
    <w:p>
      <w:pPr>
        <w:ind w:left="317" w:hanging="317"/>
      </w:pPr>
      <w:r>
        <w:rPr>
          <w:color w:val="000000"/>
        </w:rPr>
        <w:t>1. 管理员上传并确认修订报告。它与首次报告属于同一账号、渠道、关键词和业务日期，不应新增另一份 90 单业绩。</w:t>
      </w:r>
    </w:p>
    <w:p>
      <w:pPr>
        <w:ind w:left="317" w:hanging="317"/>
      </w:pPr>
      <w:r>
        <w:rPr>
          <w:color w:val="000000"/>
        </w:rPr>
        <w:t>2. “来源异常与修订”应出现两条不同值修订候选。核对当前来源后，分别选择候选并填写修订依据，接受修订；只上传文件不等于已接受新值。</w:t>
      </w:r>
    </w:p>
    <w:p>
      <w:pPr>
        <w:ind w:left="317" w:hanging="317"/>
      </w:pPr>
      <w:r>
        <w:rPr>
          <w:color w:val="000000"/>
        </w:rPr>
        <w:t>3. 刷新归因与对账，当前有效订单合计为 90 单。原先确认的四条金额保留；按相同账期重新生成或查看调整草稿，不能覆盖旧记录。</w:t>
      </w:r>
    </w:p>
    <w:p>
      <w:pPr>
        <w:ind w:left="317" w:hanging="317"/>
      </w:pPr>
      <w:r>
        <w:rPr>
          <w:color w:val="000000"/>
        </w:rPr>
        <w:t>4. 仍由团长先确认自己对达人的调整，再由管理员确认代理层调整。完成后两层净应付分别为 1,350 元和 1,170 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2088"/>
        <w:gridCol w:w="2088"/>
        <w:gridCol w:w="2232"/>
      </w:tblGrid>
      <w:tr>
        <w:trPr>
          <w:cantSplit/>
          <w:tblHeader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</w:pPr>
            <w:r>
              <w:rPr>
                <w:b/>
                <w:color w:val="000000"/>
                <w:sz w:val="20"/>
              </w:rPr>
              <w:t>调整项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词甲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词乙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代理应付团长调整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−90 元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−60 元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−150 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团长应付达人调整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−78 元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−52 元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−130 元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修订后团长毛差价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108 元</w:t>
            </w:r>
          </w:p>
        </w:tc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72 元</w:t>
            </w:r>
          </w:p>
        </w:tc>
        <w:tc>
          <w:tcPr>
            <w:tcW w:type="dxa" w:w="22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180 元</w:t>
            </w:r>
          </w:p>
        </w:tc>
      </w:tr>
    </w:tbl>
    <w:p>
      <w:pPr>
        <w:spacing w:after="0" w:before="0" w:line="60" w:lineRule="exact"/>
      </w:pPr>
    </w:p>
    <w:p>
      <w:r>
        <w:rPr>
          <w:color w:val="000000"/>
        </w:rPr>
        <w:t>重复上传或再次确认同一来源，不能继续累加订单或重复生成差额。可从归因详情追溯原文件、原始行、当前事实版本、绑定和报价；按业务日期取价，不按上传日期取价。</w:t>
      </w:r>
    </w:p>
    <w:p>
      <w:pPr>
        <w:pStyle w:val="Heading1"/>
      </w:pPr>
      <w:r>
        <w:t>6 必测的异常和权限场景</w:t>
      </w:r>
    </w:p>
    <w:p>
      <w:r>
        <w:rPr>
          <w:color w:val="000000"/>
        </w:rPr>
        <w:t>在主流程完成后测试。需要修改样本时，另存副本，保留初始文件；不要在文件里添加计算公式或额外工作表公式。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4032"/>
        <w:gridCol w:w="5256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</w:pPr>
            <w:r>
              <w:rPr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6EBF0"/>
          </w:tcPr>
          <w:p>
            <w:pPr>
              <w:keepNext/>
              <w:spacing w:after="0" w:before="0" w:line="264" w:lineRule="auto"/>
            </w:pPr>
            <w:r>
              <w:rPr>
                <w:b/>
                <w:color w:val="000000"/>
                <w:sz w:val="20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T01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重复上传同文件或仅改文件名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同值去重，订单与应付不翻倍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T02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将词甲替换为未创建的新关键词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进入映射或归属异常，不能任意分到现有达人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T03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风险判定填写“待上游说明”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原文保留并暂停该来源对账，不自动认定有效或按比例扣除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T04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保持订单为明确的 0；另做缺订单列的副本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0 与缺失区分；缺列不能按 0 元完成对账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T05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给团长的达人发布 16 元/单报价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拒绝高于 15 元进价的倒挂报价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T06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发布与现有版本重叠的报价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拒绝冲突，不覆盖已经生效的版本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T07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对两个已用词申请释放或重新分配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拒绝，保留原商业归属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T08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新建一个未使用词，由团队达人直接领取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团队达人不能领取公共库存；团长可领取并分配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T09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标记某绑定作品有争议，再尝试确认应付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该绑定暂停确认，解除争议须有权限与依据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T10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用达人身份直接请求管理接口或篡改项目 ID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返回拒绝或无授权数据，不能泄露上游价格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T11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旧“历史邮件 / Excel 导入”重复预览并打开明细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不出现 SQL 500；失败时不保留旧成功提示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  <w:jc w:val="center"/>
            </w:pPr>
            <w:r>
              <w:rPr>
                <w:color w:val="000000"/>
                <w:sz w:val="20"/>
              </w:rPr>
              <w:t>T12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新周期报告尝试走旧入口确认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before="0" w:line="264" w:lineRule="auto"/>
            </w:pPr>
            <w:r>
              <w:rPr>
                <w:color w:val="000000"/>
                <w:sz w:val="20"/>
              </w:rPr>
              <w:t>日期边界阻止进入旧处理链，不能重复计量</w:t>
            </w:r>
          </w:p>
        </w:tc>
      </w:tr>
    </w:tbl>
    <w:p>
      <w:pPr>
        <w:spacing w:after="0" w:before="0" w:line="60" w:lineRule="exact"/>
      </w:pPr>
    </w:p>
    <w:p>
      <w:r>
        <w:rPr>
          <w:color w:val="000000"/>
        </w:rPr>
        <w:t>并发 50 次领取、24 小时优先期边界、账号停用、Worker 恢复、空库和升级迁移由下节自动化覆盖。手工测试不能通过调本机时间替代这些测试。</w:t>
      </w:r>
    </w:p>
    <w:p>
      <w:pPr>
        <w:pStyle w:val="Heading1"/>
      </w:pPr>
      <w:r>
        <w:t>7 自动化验证和问题反馈</w:t>
      </w:r>
    </w:p>
    <w:p>
      <w:r>
        <w:rPr>
          <w:color w:val="000000"/>
        </w:rPr>
        <w:t>在仓库根执行下列命令，保留真实输出与退出码：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pnpm run verify:opc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npm --prefix server run build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npm --prefix server run test:attribution</w:t>
      </w:r>
    </w:p>
    <w:p>
      <w:pPr>
        <w:keepNext w:val="0"/>
        <w:spacing w:after="180" w:line="252" w:lineRule="auto"/>
      </w:pPr>
      <w:r>
        <w:rPr>
          <w:rFonts w:ascii="Consolas" w:hAnsi="Consolas"/>
          <w:sz w:val="18"/>
        </w:rPr>
        <w:t>npm --prefix server run demo:attribution -- --check</w:t>
      </w:r>
    </w:p>
    <w:p>
      <w:r>
        <w:rPr>
          <w:rFonts w:ascii="Consolas" w:hAnsi="Consolas"/>
          <w:color w:val="000000"/>
          <w:sz w:val="20"/>
        </w:rPr>
        <w:t>verify:opc</w:t>
      </w:r>
      <w:r>
        <w:rPr>
          <w:color w:val="000000"/>
        </w:rPr>
        <w:t xml:space="preserve"> 包含后端类型检查、纯核心构建、前端类型和构建，以及 OPC 隔离测试。</w:t>
      </w:r>
      <w:r>
        <w:rPr>
          <w:rFonts w:ascii="Consolas" w:hAnsi="Consolas"/>
          <w:color w:val="000000"/>
          <w:sz w:val="20"/>
        </w:rPr>
        <w:t>test:attribution</w:t>
      </w:r>
      <w:r>
        <w:rPr>
          <w:color w:val="000000"/>
        </w:rPr>
        <w:t xml:space="preserve"> 使用一次性 MySQL，并在故障组创建 Redis。</w:t>
      </w:r>
      <w:r>
        <w:rPr>
          <w:rFonts w:ascii="Consolas" w:hAnsi="Consolas"/>
          <w:color w:val="000000"/>
          <w:sz w:val="20"/>
        </w:rPr>
        <w:t>--check</w:t>
      </w:r>
      <w:r>
        <w:rPr>
          <w:color w:val="000000"/>
        </w:rPr>
        <w:t xml:space="preserve"> 只验证演练初始化和报表生成，随后自动回收；它不等于完整页面验收。</w:t>
      </w:r>
    </w:p>
    <w:p>
      <w:r>
        <w:rPr>
          <w:color w:val="000000"/>
        </w:rPr>
        <w:t>浏览器完整验收需要 Playwright 和已安装的 Edge。在 Windows PowerShell 的仓库根执行：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npm install --prefix .opc-work/playwright --no-save playwright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$env:OPC_PLAYWRIGHT_MODULE = (Resolve-Path .opc-work/playwright/node_modules/playwright).Path</w:t>
      </w:r>
    </w:p>
    <w:p>
      <w:pPr>
        <w:keepNext/>
        <w:spacing w:after="40" w:line="252" w:lineRule="auto"/>
      </w:pPr>
      <w:r>
        <w:rPr>
          <w:rFonts w:ascii="Consolas" w:hAnsi="Consolas"/>
          <w:sz w:val="18"/>
        </w:rPr>
        <w:t>$env:OPC_BROWSER_CHANNEL = 'msedge'</w:t>
      </w:r>
    </w:p>
    <w:p>
      <w:pPr>
        <w:keepNext w:val="0"/>
        <w:spacing w:after="180" w:line="252" w:lineRule="auto"/>
      </w:pPr>
      <w:r>
        <w:rPr>
          <w:rFonts w:ascii="Consolas" w:hAnsi="Consolas"/>
          <w:sz w:val="18"/>
        </w:rPr>
        <w:t>npm --prefix server run test:attribution:ui</w:t>
      </w:r>
    </w:p>
    <w:p>
      <w:r>
        <w:rPr>
          <w:color w:val="000000"/>
        </w:rPr>
        <w:t xml:space="preserve">上述 Playwright 只安装到 Git 忽略的测试目录，不修改项目依赖。其他系统可使用已安装的 Chrome，并把 </w:t>
      </w:r>
      <w:r>
        <w:rPr>
          <w:rFonts w:ascii="Consolas" w:hAnsi="Consolas"/>
          <w:color w:val="000000"/>
          <w:sz w:val="20"/>
        </w:rPr>
        <w:t>OPC_BROWSER_CHANNEL</w:t>
      </w:r>
      <w:r>
        <w:rPr>
          <w:color w:val="000000"/>
        </w:rPr>
        <w:t xml:space="preserve"> 设为 </w:t>
      </w:r>
      <w:r>
        <w:rPr>
          <w:rFonts w:ascii="Consolas" w:hAnsi="Consolas"/>
          <w:color w:val="000000"/>
          <w:sz w:val="20"/>
        </w:rPr>
        <w:t>chrome</w:t>
      </w:r>
      <w:r>
        <w:rPr>
          <w:color w:val="000000"/>
        </w:rPr>
        <w:t xml:space="preserve">。证据输出在 </w:t>
      </w:r>
      <w:r>
        <w:rPr>
          <w:rFonts w:ascii="Consolas" w:hAnsi="Consolas"/>
          <w:color w:val="000000"/>
          <w:sz w:val="20"/>
        </w:rPr>
        <w:t>.opc-work/attribution-ui/</w:t>
      </w:r>
      <w:r>
        <w:rPr>
          <w:color w:val="000000"/>
        </w:rPr>
        <w:t xml:space="preserve">，包括三端截图、HTTP 日志和 </w:t>
      </w:r>
      <w:r>
        <w:rPr>
          <w:rFonts w:ascii="Consolas" w:hAnsi="Consolas"/>
          <w:color w:val="000000"/>
          <w:sz w:val="20"/>
        </w:rPr>
        <w:t>result.json</w:t>
      </w:r>
      <w:r>
        <w:rPr>
          <w:color w:val="000000"/>
        </w:rPr>
        <w:t>。</w:t>
      </w:r>
    </w:p>
    <w:p>
      <w:r>
        <w:rPr>
          <w:color w:val="000000"/>
        </w:rPr>
        <w:t xml:space="preserve">提交问题时请附：测试分支及 </w:t>
      </w:r>
      <w:r>
        <w:rPr>
          <w:rFonts w:ascii="Consolas" w:hAnsi="Consolas"/>
          <w:color w:val="000000"/>
          <w:sz w:val="20"/>
        </w:rPr>
        <w:t>git rev-parse HEAD</w:t>
      </w:r>
      <w:r>
        <w:rPr>
          <w:color w:val="000000"/>
        </w:rPr>
        <w:t>、Node/Docker 版本、角色、项目与账号、业务日期、关键词/绑定/归因编号、使用的样本文件、操作步骤、预期与实际结果、请求状态码，以及截图或日志。不要附真实密钥、登录令牌或数据库密码。</w:t>
      </w:r>
    </w:p>
    <w:p>
      <w:r>
        <w:rPr>
          <w:color w:val="000000"/>
        </w:rPr>
        <w:t>常见排查：页面仍显示旧标题时强制刷新；找不到报告时查看本次终端打印的目录；有预览但无归因时确认是否点击了确认导入并刷新；不能确认时检查试算状态、首次核验、争议、缺价和逐层确认顺序；容器启动错误时先检查 Docker Server 状态。</w:t>
      </w:r>
    </w:p>
    <w:p>
      <w:pPr>
        <w:pStyle w:val="Heading1"/>
      </w:pPr>
      <w:r>
        <w:t>8 本次交付验证记录</w:t>
      </w:r>
    </w:p>
    <w:p>
      <w:r>
        <w:rPr>
          <w:color w:val="000000"/>
        </w:rPr>
        <w:t>2026 年 9 月 13 日的交付检查：后端类型检查与构建、纯核心构建、前端 11 项类型检查及三端构建通过。归因测试中不依赖容器的 15 项通过，OPC 非数据库测试 3 项通过。</w:t>
      </w:r>
    </w:p>
    <w:p>
      <w:r>
        <w:rPr>
          <w:color w:val="000000"/>
        </w:rPr>
        <w:t>本机 Docker Server 持续超时，依赖容器的测试未能完成：归因测试汇总为 15 通过、1 失败、27 未执行；OPC 测试为 3 通过、10 未执行，集成测试套件初始化失败。错误均发生在 Testcontainers 获取 Docker 运行环境时，不能计为业务测试通过。新演练启动器已通过语法和 TypeScript 检查，但尚未成功完成容器初始化；本次三端浏览器回归也待 Docker 恢复后执行。</w:t>
      </w:r>
    </w:p>
    <w:p>
      <w:r>
        <w:rPr>
          <w:color w:val="000000"/>
        </w:rPr>
        <w:t xml:space="preserve">9 月 11 日曾通过完整 42 项归因测试和三端流程，并另行完成旧导入 SQL 回归。历史结果仅作参考，本次测试分支供协作者继续验证。详细记录见同目录 </w:t>
      </w:r>
      <w:r>
        <w:rPr>
          <w:rFonts w:ascii="Consolas" w:hAnsi="Consolas"/>
          <w:color w:val="000000"/>
          <w:sz w:val="20"/>
        </w:rPr>
        <w:t>OPC归因实施记录.md</w:t>
      </w:r>
      <w:r>
        <w:rPr>
          <w:color w:val="000000"/>
        </w:rPr>
        <w:t xml:space="preserve"> 的“协作者测试交付”节。</w:t>
      </w:r>
    </w:p>
    <w:p>
      <w:r>
        <w:rPr>
          <w:color w:val="000000"/>
        </w:rPr>
        <w:t>完整真实 Excel 的表头、日期存储、单位及渠道映射抽样，真实部署下的 Redis/Bull 配置验证，以及生产日期切换，仍需在本地模拟验收之后单独完成。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2026 年 9 月 13 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OPC 知乎归因引擎  协作者测试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OPC 知乎归因引擎测试指南</dc:title>
  <dc:subject>隔离演练与三端功能验收</dc:subject>
  <dc:creator>OPC 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