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416C" w14:textId="7E6EF6E7" w:rsidR="00E50A94" w:rsidRPr="00442589" w:rsidRDefault="00E50A94" w:rsidP="00E50A94">
      <w:pPr>
        <w:rPr>
          <w:u w:val="single"/>
          <w:lang w:val="en-US"/>
        </w:rPr>
      </w:pPr>
      <w:r w:rsidRPr="00442589">
        <w:rPr>
          <w:u w:val="single"/>
          <w:lang w:val="en-US"/>
        </w:rPr>
        <w:t xml:space="preserve">Week </w:t>
      </w:r>
      <w:r>
        <w:rPr>
          <w:u w:val="single"/>
          <w:lang w:val="en-US"/>
        </w:rPr>
        <w:t>4</w:t>
      </w:r>
      <w:r w:rsidRPr="00442589">
        <w:rPr>
          <w:u w:val="single"/>
          <w:lang w:val="en-US"/>
        </w:rPr>
        <w:tab/>
        <w:t xml:space="preserve">- Week commencing </w:t>
      </w:r>
      <w:r w:rsidR="00B23FB6">
        <w:rPr>
          <w:u w:val="single"/>
          <w:lang w:val="en-US"/>
        </w:rPr>
        <w:t>21</w:t>
      </w:r>
      <w:r w:rsidRPr="00442589">
        <w:rPr>
          <w:u w:val="single"/>
          <w:lang w:val="en-US"/>
        </w:rPr>
        <w:t>/</w:t>
      </w:r>
      <w:r>
        <w:rPr>
          <w:u w:val="single"/>
          <w:lang w:val="en-US"/>
        </w:rPr>
        <w:t>2</w:t>
      </w:r>
      <w:r w:rsidRPr="00442589">
        <w:rPr>
          <w:u w:val="single"/>
          <w:lang w:val="en-US"/>
        </w:rPr>
        <w:t>/2022</w:t>
      </w:r>
    </w:p>
    <w:p w14:paraId="4AB2AAB8" w14:textId="77777777" w:rsidR="00E50A94" w:rsidRDefault="00E50A94" w:rsidP="00E50A94">
      <w:pPr>
        <w:rPr>
          <w:lang w:val="en-US"/>
        </w:rPr>
      </w:pPr>
    </w:p>
    <w:p w14:paraId="434C308E" w14:textId="77777777" w:rsidR="00E50A94" w:rsidRDefault="00E50A94" w:rsidP="00E50A94">
      <w:pPr>
        <w:rPr>
          <w:b/>
          <w:bCs/>
          <w:u w:val="single"/>
          <w:lang w:val="en-US"/>
        </w:rPr>
      </w:pPr>
      <w:r w:rsidRPr="00442589">
        <w:rPr>
          <w:b/>
          <w:bCs/>
          <w:u w:val="single"/>
          <w:lang w:val="en-US"/>
        </w:rPr>
        <w:t>Week Outline</w:t>
      </w:r>
    </w:p>
    <w:p w14:paraId="5CEF9E03" w14:textId="1C5E576D" w:rsidR="00E50A94" w:rsidRDefault="001A2236" w:rsidP="00E50A94">
      <w:pPr>
        <w:rPr>
          <w:lang w:val="en-US"/>
        </w:rPr>
      </w:pPr>
      <w:r>
        <w:rPr>
          <w:lang w:val="en-US"/>
        </w:rPr>
        <w:t>Online meeting discussing the implications</w:t>
      </w:r>
      <w:r w:rsidR="00CB2D3E">
        <w:rPr>
          <w:lang w:val="en-US"/>
        </w:rPr>
        <w:t xml:space="preserve"> and further analysis</w:t>
      </w:r>
      <w:r>
        <w:rPr>
          <w:lang w:val="en-US"/>
        </w:rPr>
        <w:t xml:space="preserve"> of the beam filling factor on the measured data from the detector. </w:t>
      </w:r>
    </w:p>
    <w:p w14:paraId="2A5066CB" w14:textId="401E1A05" w:rsidR="00CB2D3E" w:rsidRDefault="00CB2D3E" w:rsidP="00E50A94">
      <w:pPr>
        <w:rPr>
          <w:lang w:val="en-US"/>
        </w:rPr>
      </w:pPr>
      <w:r>
        <w:rPr>
          <w:lang w:val="en-US"/>
        </w:rPr>
        <w:t>The detector has a large solid angle, and thus the full beam of the detector is not entirely comprised of the radiance of the hot bar. An example diagram is given below:</w:t>
      </w:r>
    </w:p>
    <w:p w14:paraId="69B5484E" w14:textId="77777777" w:rsidR="007254C9" w:rsidRPr="0029616D" w:rsidRDefault="007254C9" w:rsidP="007254C9">
      <w:pPr>
        <w:rPr>
          <w:u w:val="single"/>
          <w:lang w:val="en-US"/>
        </w:rPr>
      </w:pPr>
      <w:r w:rsidRPr="0029616D">
        <w:rPr>
          <w:u w:val="single"/>
          <w:lang w:val="en-US"/>
        </w:rPr>
        <w:t>Side view</w:t>
      </w:r>
    </w:p>
    <w:p w14:paraId="5DD90583" w14:textId="77777777" w:rsidR="007254C9" w:rsidRDefault="007254C9" w:rsidP="00E50A94">
      <w:pPr>
        <w:rPr>
          <w:lang w:val="en-US"/>
        </w:rPr>
      </w:pPr>
    </w:p>
    <w:p w14:paraId="298C0542" w14:textId="7BB26E98" w:rsidR="007254C9" w:rsidRDefault="00CB2D3E" w:rsidP="00E50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C1E98" wp14:editId="5FB3A9A6">
            <wp:extent cx="572389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B136" w14:textId="30E59F9E" w:rsidR="007254C9" w:rsidRPr="0029616D" w:rsidRDefault="007254C9" w:rsidP="00E50A94">
      <w:pPr>
        <w:rPr>
          <w:u w:val="single"/>
          <w:lang w:val="en-US"/>
        </w:rPr>
      </w:pPr>
      <w:r w:rsidRPr="0029616D">
        <w:rPr>
          <w:u w:val="single"/>
          <w:lang w:val="en-US"/>
        </w:rPr>
        <w:t>Front View</w:t>
      </w:r>
    </w:p>
    <w:p w14:paraId="396BA5EA" w14:textId="77777777" w:rsidR="0029616D" w:rsidRDefault="007254C9" w:rsidP="00E50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1CA41" wp14:editId="2F516376">
            <wp:extent cx="5747385" cy="26955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where the red circle is the beam. As observed, the beam covers parts of the detection that goes </w:t>
      </w:r>
      <w:r>
        <w:rPr>
          <w:lang w:val="en-US"/>
        </w:rPr>
        <w:lastRenderedPageBreak/>
        <w:t xml:space="preserve">beyond the hotbar, and you can imagine that the 2-D Gaussian dF0 peak that forms from the detection for a given detector data at a given time comprises of “addition of power” from background sources and that not 100% of the peak of the curve used for calculating the response corresponds to the hot bar. This leads to the idea of a beam filling factor. </w:t>
      </w:r>
    </w:p>
    <w:p w14:paraId="6CDC9DAD" w14:textId="77777777" w:rsidR="0032496A" w:rsidRDefault="007254C9" w:rsidP="00E50A94">
      <w:pPr>
        <w:rPr>
          <w:lang w:val="en-US"/>
        </w:rPr>
      </w:pPr>
      <w:r>
        <w:rPr>
          <w:lang w:val="en-US"/>
        </w:rPr>
        <w:t xml:space="preserve">The 2D Gaussian corresponding to the detection of the hot bar can be </w:t>
      </w:r>
      <w:r w:rsidR="0029616D">
        <w:rPr>
          <w:lang w:val="en-US"/>
        </w:rPr>
        <w:t>modelled in such a way that if we use and “cut” a 2D Gaussian of length</w:t>
      </w:r>
      <w:r w:rsidR="0029616D">
        <w:rPr>
          <w:vertAlign w:val="superscript"/>
          <w:lang w:val="en-US"/>
        </w:rPr>
        <w:t>2</w:t>
      </w:r>
      <w:r w:rsidR="0029616D">
        <w:rPr>
          <w:vertAlign w:val="subscript"/>
          <w:lang w:val="en-US"/>
        </w:rPr>
        <w:t>,</w:t>
      </w:r>
      <w:r w:rsidR="0029616D">
        <w:rPr>
          <w:lang w:val="en-US"/>
        </w:rPr>
        <w:t xml:space="preserve"> to only the dimensions of the hot bar and set the outside of the curve to equal to 0</w:t>
      </w:r>
      <w:r w:rsidR="0032496A">
        <w:rPr>
          <w:lang w:val="en-US"/>
        </w:rPr>
        <w:t>. This is shown below:</w:t>
      </w:r>
    </w:p>
    <w:p w14:paraId="30B9E6DD" w14:textId="01CDDBCD" w:rsidR="00CB2D3E" w:rsidRDefault="0032496A" w:rsidP="00E50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9CF07" wp14:editId="5355132F">
            <wp:extent cx="5723890" cy="364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W</w:t>
      </w:r>
      <w:r w:rsidR="0029616D">
        <w:rPr>
          <w:lang w:val="en-US"/>
        </w:rPr>
        <w:t xml:space="preserve">e can </w:t>
      </w:r>
      <w:r>
        <w:rPr>
          <w:lang w:val="en-US"/>
        </w:rPr>
        <w:t>then take</w:t>
      </w:r>
      <w:r w:rsidR="0029616D">
        <w:rPr>
          <w:lang w:val="en-US"/>
        </w:rPr>
        <w:t xml:space="preserve"> the sum of the “cut” Gaussian curve and the “uncut” Gaussian curve and take the ratio of them, this gives a “Beam Filling Factor”:</w:t>
      </w:r>
    </w:p>
    <w:p w14:paraId="04E40864" w14:textId="0470C8EE" w:rsidR="0029616D" w:rsidRPr="0029616D" w:rsidRDefault="0029616D" w:rsidP="00E50A9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BFF=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hot bar Gaussian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2D Gaussian</m:t>
                  </m:r>
                </m:e>
              </m:nary>
            </m:den>
          </m:f>
        </m:oMath>
      </m:oMathPara>
    </w:p>
    <w:p w14:paraId="75D903D6" w14:textId="49F0E25B" w:rsidR="0029616D" w:rsidRPr="00895B97" w:rsidRDefault="0029616D" w:rsidP="00E50A94">
      <w:pPr>
        <w:rPr>
          <w:lang w:val="en-US"/>
        </w:rPr>
      </w:pPr>
      <w:r>
        <w:rPr>
          <w:lang w:val="en-US"/>
        </w:rPr>
        <w:t xml:space="preserve">This beam filling factor essentially gives a ratio of the </w:t>
      </w:r>
      <w:r w:rsidR="0032496A">
        <w:rPr>
          <w:lang w:val="en-US"/>
        </w:rPr>
        <w:t xml:space="preserve">beam that is filled by the hot bar. This will be essential in calculating the power of the hot bar in the following weeks to find the NEP. </w:t>
      </w:r>
    </w:p>
    <w:p w14:paraId="3E88BC85" w14:textId="323485EB" w:rsidR="00895B97" w:rsidRPr="0019530B" w:rsidRDefault="0019530B" w:rsidP="00E50A94">
      <w:pPr>
        <w:rPr>
          <w:b/>
          <w:bCs/>
          <w:u w:val="single"/>
          <w:lang w:val="en-US"/>
        </w:rPr>
      </w:pPr>
      <w:bookmarkStart w:id="0" w:name="_Hlk98364185"/>
      <w:r>
        <w:rPr>
          <w:b/>
          <w:bCs/>
          <w:u w:val="single"/>
          <w:lang w:val="en-US"/>
        </w:rPr>
        <w:t xml:space="preserve">Complete </w:t>
      </w:r>
      <w:r w:rsidRPr="0019530B">
        <w:rPr>
          <w:b/>
          <w:bCs/>
          <w:u w:val="single"/>
          <w:lang w:val="en-US"/>
        </w:rPr>
        <w:t>Python Code Attached at the End of Diary</w:t>
      </w:r>
    </w:p>
    <w:bookmarkEnd w:id="0"/>
    <w:p w14:paraId="6F8DBE8A" w14:textId="77777777" w:rsidR="00E50A94" w:rsidRDefault="00E50A94" w:rsidP="00E50A9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Tasks Outline</w:t>
      </w:r>
    </w:p>
    <w:p w14:paraId="2BD3B217" w14:textId="12333C6B" w:rsidR="00E50A94" w:rsidRPr="0032496A" w:rsidRDefault="0032496A" w:rsidP="003249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Create a 2D Gaussian Curve with amplitude 1, fwhm = width of hot bar and plot this for the length of the hot bar squared.</w:t>
      </w:r>
    </w:p>
    <w:p w14:paraId="52A17F5B" w14:textId="12DC3DCD" w:rsidR="0032496A" w:rsidRPr="0032496A" w:rsidRDefault="0032496A" w:rsidP="003249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Take the sum of this Gaussian as Gaussian_Sum</w:t>
      </w:r>
    </w:p>
    <w:p w14:paraId="263B98EC" w14:textId="642ADE73" w:rsidR="0032496A" w:rsidRPr="0032496A" w:rsidRDefault="0032496A" w:rsidP="003249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Set the points outside the hot bar dimensions as equal to 0</w:t>
      </w:r>
    </w:p>
    <w:p w14:paraId="5BA4DD7C" w14:textId="2D2AE183" w:rsidR="0032496A" w:rsidRPr="0032496A" w:rsidRDefault="0032496A" w:rsidP="003249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Take the sum of this new “cut” Gaussian.</w:t>
      </w:r>
    </w:p>
    <w:p w14:paraId="611A1775" w14:textId="6330FF40" w:rsidR="0032496A" w:rsidRPr="0032496A" w:rsidRDefault="0032496A" w:rsidP="003249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Take the ratio of Gaussian_Sum to “cut” Gaussian sum as the Beam Filling Factor.</w:t>
      </w:r>
    </w:p>
    <w:p w14:paraId="4947C143" w14:textId="3D70B283" w:rsidR="0032496A" w:rsidRDefault="0032496A" w:rsidP="00E50A94">
      <w:pPr>
        <w:rPr>
          <w:b/>
          <w:bCs/>
          <w:u w:val="single"/>
          <w:lang w:val="en-US"/>
        </w:rPr>
      </w:pPr>
    </w:p>
    <w:p w14:paraId="24F30C86" w14:textId="77777777" w:rsidR="0019530B" w:rsidRDefault="001953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Top Down View of the cut Gaussian</w:t>
      </w:r>
      <w:r>
        <w:rPr>
          <w:noProof/>
        </w:rPr>
        <w:drawing>
          <wp:inline distT="0" distB="0" distL="0" distR="0" wp14:anchorId="1B276B5A" wp14:editId="05EA1906">
            <wp:extent cx="5502419" cy="4132613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57" cy="41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4D36" w14:textId="149CED6A" w:rsidR="009851B0" w:rsidRDefault="001953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Side View of the Cut Gaussian</w:t>
      </w:r>
      <w:r>
        <w:rPr>
          <w:noProof/>
        </w:rPr>
        <w:drawing>
          <wp:inline distT="0" distB="0" distL="0" distR="0" wp14:anchorId="3C3F63D1" wp14:editId="5A79D87B">
            <wp:extent cx="5260769" cy="3951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6" cy="39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1654" w14:textId="5BDDA459" w:rsidR="0019530B" w:rsidRPr="0019530B" w:rsidRDefault="0019530B">
      <w:pPr>
        <w:rPr>
          <w:u w:val="single"/>
          <w:lang w:val="en-US"/>
        </w:rPr>
      </w:pPr>
      <w:r w:rsidRPr="0019530B">
        <w:rPr>
          <w:lang w:val="en-US"/>
        </w:rPr>
        <w:t>Beam Filling Factor was found to be:</w:t>
      </w:r>
      <w:r w:rsidRPr="0019530B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0.9847</w:t>
      </w:r>
    </w:p>
    <w:sectPr w:rsidR="0019530B" w:rsidRPr="0019530B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58E4"/>
    <w:multiLevelType w:val="hybridMultilevel"/>
    <w:tmpl w:val="D250E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8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CD"/>
    <w:rsid w:val="0019530B"/>
    <w:rsid w:val="001A2236"/>
    <w:rsid w:val="0029616D"/>
    <w:rsid w:val="0032496A"/>
    <w:rsid w:val="00386135"/>
    <w:rsid w:val="007254C9"/>
    <w:rsid w:val="00895B97"/>
    <w:rsid w:val="009851B0"/>
    <w:rsid w:val="009F67DD"/>
    <w:rsid w:val="00B23FB6"/>
    <w:rsid w:val="00C84DCD"/>
    <w:rsid w:val="00CB2D3E"/>
    <w:rsid w:val="00E5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7E8"/>
  <w15:chartTrackingRefBased/>
  <w15:docId w15:val="{88094AF2-5796-4C1C-AC0C-21F70E8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16D"/>
    <w:rPr>
      <w:color w:val="808080"/>
    </w:rPr>
  </w:style>
  <w:style w:type="paragraph" w:styleId="ListParagraph">
    <w:name w:val="List Paragraph"/>
    <w:basedOn w:val="Normal"/>
    <w:uiPriority w:val="34"/>
    <w:qFormat/>
    <w:rsid w:val="0032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4</cp:revision>
  <dcterms:created xsi:type="dcterms:W3CDTF">2022-03-10T15:19:00Z</dcterms:created>
  <dcterms:modified xsi:type="dcterms:W3CDTF">2022-05-12T23:45:00Z</dcterms:modified>
</cp:coreProperties>
</file>