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12</w:t>
          </w:r>
        </w:p>
        <w:p>
          <w:pPr>
            <w:tabs>
              <w:tab w:val="right" w:leader="dot" w:pos="8640"/>
            </w:tabs>
            <w:spacing w:after="40" w:line="276" w:lineRule="auto"/>
            <w:ind w:left="240"/>
          </w:pPr>
          <w:r>
            <w:t xml:space="preserve">3.1 System Methodology</w:t>
          </w:r>
          <w:r>
            <w:tab/>
          </w:r>
          <w:r>
            <w:t>12</w:t>
          </w:r>
        </w:p>
        <w:p>
          <w:pPr>
            <w:tabs>
              <w:tab w:val="right" w:leader="dot" w:pos="8640"/>
            </w:tabs>
            <w:spacing w:after="40" w:line="276" w:lineRule="auto"/>
            <w:ind w:left="240"/>
          </w:pPr>
          <w:r>
            <w:t xml:space="preserve">3.2 System Design</w:t>
          </w:r>
          <w:r>
            <w:tab/>
          </w:r>
          <w:r>
            <w:t>13</w:t>
          </w:r>
        </w:p>
        <w:p>
          <w:pPr>
            <w:tabs>
              <w:tab w:val="right" w:leader="dot" w:pos="8640"/>
            </w:tabs>
            <w:spacing w:after="40" w:line="276" w:lineRule="auto"/>
            <w:ind w:left="480"/>
          </w:pPr>
          <w:r>
            <w:t xml:space="preserve">3.2.1 System Overview</w:t>
          </w:r>
          <w:r>
            <w:tab/>
          </w:r>
          <w:r>
            <w:t>13</w:t>
          </w:r>
        </w:p>
        <w:p>
          <w:pPr>
            <w:tabs>
              <w:tab w:val="right" w:leader="dot" w:pos="8640"/>
            </w:tabs>
            <w:spacing w:after="40" w:line="276" w:lineRule="auto"/>
            <w:ind w:left="480"/>
          </w:pPr>
          <w:r>
            <w:t xml:space="preserve">3.2.2 System Architecture</w:t>
          </w:r>
          <w:r>
            <w:tab/>
          </w:r>
          <w:r>
            <w:t>14</w:t>
          </w:r>
        </w:p>
        <w:p>
          <w:pPr>
            <w:tabs>
              <w:tab w:val="right" w:leader="dot" w:pos="8640"/>
            </w:tabs>
            <w:spacing w:after="40" w:line="276" w:lineRule="auto"/>
            <w:ind w:left="480"/>
          </w:pPr>
          <w:r>
            <w:t xml:space="preserve">3.2.3 Database Design</w:t>
          </w:r>
          <w:r>
            <w:tab/>
          </w:r>
          <w:r>
            <w:t>15</w:t>
          </w:r>
        </w:p>
        <w:p>
          <w:pPr>
            <w:tabs>
              <w:tab w:val="right" w:leader="dot" w:pos="8640"/>
            </w:tabs>
            <w:spacing w:after="40" w:line="276" w:lineRule="auto"/>
            <w:ind w:left="480"/>
          </w:pPr>
          <w:r>
            <w:t xml:space="preserve">3.2.4 Use Case Diagram</w:t>
          </w:r>
          <w:r>
            <w:tab/>
          </w:r>
          <w:r>
            <w:t>16</w:t>
          </w:r>
        </w:p>
        <w:p>
          <w:pPr>
            <w:tabs>
              <w:tab w:val="right" w:leader="dot" w:pos="8640"/>
            </w:tabs>
            <w:spacing w:after="40" w:line="276" w:lineRule="auto"/>
            <w:ind w:left="480"/>
          </w:pPr>
          <w:r>
            <w:t xml:space="preserve">3.2.5 Context Diagram</w:t>
          </w:r>
          <w:r>
            <w:tab/>
          </w:r>
          <w:r>
            <w:t>17</w:t>
          </w:r>
        </w:p>
        <w:p>
          <w:pPr>
            <w:tabs>
              <w:tab w:val="right" w:leader="dot" w:pos="8640"/>
            </w:tabs>
            <w:spacing w:after="40" w:line="276" w:lineRule="auto"/>
            <w:ind w:left="480"/>
          </w:pPr>
          <w:r>
            <w:t xml:space="preserve">3.2.6 Data Flow Diagram</w:t>
          </w:r>
          <w:r>
            <w:tab/>
          </w:r>
          <w:r>
            <w:t>18</w:t>
          </w:r>
        </w:p>
        <w:p>
          <w:pPr>
            <w:tabs>
              <w:tab w:val="right" w:leader="dot" w:pos="8640"/>
            </w:tabs>
            <w:spacing w:after="40" w:line="276" w:lineRule="auto"/>
            <w:ind w:left="480"/>
          </w:pPr>
          <w:r>
            <w:t xml:space="preserve">3.2.7 Hardware Block Diagram</w:t>
          </w:r>
          <w:r>
            <w:tab/>
          </w:r>
          <w:r>
            <w:t>19</w:t>
          </w:r>
        </w:p>
        <w:p>
          <w:pPr>
            <w:tabs>
              <w:tab w:val="right" w:leader="dot" w:pos="8640"/>
            </w:tabs>
            <w:spacing w:after="40" w:line="276" w:lineRule="auto"/>
            <w:ind w:left="480"/>
          </w:pPr>
          <w:r>
            <w:t xml:space="preserve">3.2.8 Circuit Diagram</w:t>
          </w:r>
          <w:r>
            <w:tab/>
          </w:r>
          <w:r>
            <w:t>20</w:t>
          </w:r>
        </w:p>
        <w:p>
          <w:pPr>
            <w:tabs>
              <w:tab w:val="right" w:leader="dot" w:pos="8640"/>
            </w:tabs>
            <w:spacing w:after="40" w:line="276" w:lineRule="auto"/>
            <w:ind w:left="480"/>
          </w:pPr>
          <w:r>
            <w:t xml:space="preserve">3.2.9 Power Budget and Solar Sizing</w:t>
          </w:r>
          <w:r>
            <w:tab/>
          </w:r>
          <w:r>
            <w:t>21</w:t>
          </w:r>
        </w:p>
        <w:p>
          <w:pPr>
            <w:tabs>
              <w:tab w:val="right" w:leader="dot" w:pos="8640"/>
            </w:tabs>
            <w:spacing w:after="40" w:line="276" w:lineRule="auto"/>
            <w:ind w:left="480"/>
          </w:pPr>
          <w:r>
            <w:t xml:space="preserve">3.2.10 Enclosure Design, Sensor Placement, and Ventilation</w:t>
          </w:r>
          <w:r>
            <w:tab/>
          </w:r>
          <w:r>
            <w:t>22</w:t>
          </w:r>
        </w:p>
        <w:p>
          <w:pPr>
            <w:tabs>
              <w:tab w:val="right" w:leader="dot" w:pos="8640"/>
            </w:tabs>
            <w:spacing w:after="40" w:line="276" w:lineRule="auto"/>
            <w:ind w:left="480"/>
          </w:pPr>
          <w:r>
            <w:t xml:space="preserve">3.2.11 GPS Location Tracking and Multi-Station Scalability</w:t>
          </w:r>
          <w:r>
            <w:tab/>
          </w:r>
          <w:r>
            <w:t>23</w:t>
          </w:r>
        </w:p>
        <w:p>
          <w:pPr>
            <w:tabs>
              <w:tab w:val="right" w:leader="dot" w:pos="8640"/>
            </w:tabs>
            <w:spacing w:after="40" w:line="276" w:lineRule="auto"/>
            <w:ind w:left="480"/>
          </w:pPr>
          <w:r>
            <w:t xml:space="preserve">3.2.12 Flowchart</w:t>
          </w:r>
          <w:r>
            <w:tab/>
          </w:r>
          <w:r>
            <w:t>24</w:t>
          </w:r>
        </w:p>
        <w:p>
          <w:pPr>
            <w:tabs>
              <w:tab w:val="right" w:leader="dot" w:pos="8640"/>
            </w:tabs>
            <w:spacing w:after="40" w:line="276" w:lineRule="auto"/>
            <w:ind w:left="480"/>
          </w:pPr>
          <w:r>
            <w:t xml:space="preserve">3.2.13 User Interface</w:t>
          </w:r>
          <w:r>
            <w:tab/>
          </w:r>
          <w:r>
            <w:t>25</w:t>
          </w:r>
        </w:p>
        <w:p>
          <w:pPr>
            <w:tabs>
              <w:tab w:val="right" w:leader="dot" w:pos="8640"/>
            </w:tabs>
            <w:spacing w:after="40" w:line="276" w:lineRule="auto"/>
            <w:ind w:left="240"/>
          </w:pPr>
          <w:r>
            <w:t xml:space="preserve">3.3 System Development</w:t>
          </w:r>
          <w:r>
            <w:tab/>
          </w:r>
          <w:r>
            <w:t>26</w:t>
          </w:r>
        </w:p>
        <w:p>
          <w:pPr>
            <w:tabs>
              <w:tab w:val="right" w:leader="dot" w:pos="8640"/>
            </w:tabs>
            <w:spacing w:after="40" w:line="276" w:lineRule="auto"/>
            <w:ind w:left="480"/>
          </w:pPr>
          <w:r>
            <w:t xml:space="preserve">3.3.1 Hardware Requirements</w:t>
          </w:r>
          <w:r>
            <w:tab/>
          </w:r>
          <w:r>
            <w:t>26</w:t>
          </w:r>
        </w:p>
        <w:p>
          <w:pPr>
            <w:tabs>
              <w:tab w:val="right" w:leader="dot" w:pos="8640"/>
            </w:tabs>
            <w:spacing w:after="40" w:line="276" w:lineRule="auto"/>
            <w:ind w:left="480"/>
          </w:pPr>
          <w:r>
            <w:t xml:space="preserve">3.3.2 Software Requirements</w:t>
          </w:r>
          <w:r>
            <w:tab/>
          </w:r>
          <w:r>
            <w:t>27</w:t>
          </w:r>
        </w:p>
        <w:p>
          <w:pPr>
            <w:tabs>
              <w:tab w:val="right" w:leader="dot" w:pos="8640"/>
            </w:tabs>
            <w:spacing w:after="40" w:line="276" w:lineRule="auto"/>
            <w:ind w:left="240"/>
          </w:pPr>
          <w:r>
            <w:t xml:space="preserve">3.4 Deployment Plan</w:t>
          </w:r>
          <w:r>
            <w:tab/>
          </w:r>
          <w:r>
            <w:t>27</w:t>
          </w:r>
        </w:p>
        <w:p>
          <w:pPr>
            <w:tabs>
              <w:tab w:val="right" w:leader="dot" w:pos="8640"/>
            </w:tabs>
            <w:spacing w:after="40" w:line="276" w:lineRule="auto"/>
            <w:ind w:left="480"/>
          </w:pPr>
          <w:r>
            <w:t xml:space="preserve">3.4.1 Site Selection and Coordination with the Barangay</w:t>
          </w:r>
          <w:r>
            <w:tab/>
          </w:r>
          <w:r>
            <w:t>27</w:t>
          </w:r>
        </w:p>
        <w:p>
          <w:pPr>
            <w:tabs>
              <w:tab w:val="right" w:leader="dot" w:pos="8640"/>
            </w:tabs>
            <w:spacing w:after="40" w:line="276" w:lineRule="auto"/>
            <w:ind w:left="480"/>
          </w:pPr>
          <w:r>
            <w:t xml:space="preserve">3.4.2 Installation and Mounting</w:t>
          </w:r>
          <w:r>
            <w:tab/>
          </w:r>
          <w:r>
            <w:t>28</w:t>
          </w:r>
        </w:p>
        <w:p>
          <w:pPr>
            <w:tabs>
              <w:tab w:val="right" w:leader="dot" w:pos="8640"/>
            </w:tabs>
            <w:spacing w:after="40" w:line="276" w:lineRule="auto"/>
            <w:ind w:left="480"/>
          </w:pPr>
          <w:r>
            <w:t xml:space="preserve">3.4.3 Monitoring Duration and Data Collection Schedule</w:t>
          </w:r>
          <w:r>
            <w:tab/>
          </w:r>
          <w:r>
            <w:t>28</w:t>
          </w:r>
        </w:p>
        <w:p>
          <w:pPr>
            <w:tabs>
              <w:tab w:val="right" w:leader="dot" w:pos="8640"/>
            </w:tabs>
            <w:spacing w:after="40" w:line="276" w:lineRule="auto"/>
            <w:ind w:left="240"/>
          </w:pPr>
          <w:r>
            <w:t xml:space="preserve">3.5 Testing and Evaluation</w:t>
          </w:r>
          <w:r>
            <w:tab/>
          </w:r>
          <w:r>
            <w:t>29</w:t>
          </w:r>
        </w:p>
        <w:p>
          <w:pPr>
            <w:tabs>
              <w:tab w:val="right" w:leader="dot" w:pos="8640"/>
            </w:tabs>
            <w:spacing w:after="40" w:line="276" w:lineRule="auto"/>
            <w:ind w:left="480"/>
          </w:pPr>
          <w:r>
            <w:t xml:space="preserve">3.5.1 Sensor Selection, Laboratory Testing, and Validation</w:t>
          </w:r>
          <w:r>
            <w:tab/>
          </w:r>
          <w:r>
            <w:t>29</w:t>
          </w:r>
        </w:p>
        <w:p>
          <w:pPr>
            <w:tabs>
              <w:tab w:val="right" w:leader="dot" w:pos="8640"/>
            </w:tabs>
            <w:spacing w:after="40" w:line="276" w:lineRule="auto"/>
            <w:ind w:left="480"/>
          </w:pPr>
          <w:r>
            <w:t xml:space="preserve">3.5.2 Outdoor Durability and Reliability Testing</w:t>
          </w:r>
          <w:r>
            <w:tab/>
          </w:r>
          <w:r>
            <w:t>30</w:t>
          </w:r>
        </w:p>
        <w:p>
          <w:pPr>
            <w:tabs>
              <w:tab w:val="right" w:leader="dot" w:pos="8640"/>
            </w:tabs>
            <w:spacing w:after="40" w:line="276" w:lineRule="auto"/>
            <w:ind w:left="480"/>
          </w:pPr>
          <w:r>
            <w:t xml:space="preserve">3.5.3 Testing Phases</w:t>
          </w:r>
          <w:r>
            <w:tab/>
          </w:r>
          <w:r>
            <w:t>30</w:t>
          </w:r>
        </w:p>
        <w:p>
          <w:pPr>
            <w:tabs>
              <w:tab w:val="right" w:leader="dot" w:pos="8640"/>
            </w:tabs>
            <w:spacing w:after="40" w:line="276" w:lineRule="auto"/>
            <w:ind w:left="480"/>
          </w:pPr>
          <w:r>
            <w:t xml:space="preserve">3.5.4 Respondents</w:t>
          </w:r>
          <w:r>
            <w:tab/>
          </w:r>
          <w:r>
            <w:t>31</w:t>
          </w:r>
        </w:p>
        <w:p>
          <w:pPr>
            <w:tabs>
              <w:tab w:val="right" w:leader="dot" w:pos="8640"/>
            </w:tabs>
            <w:spacing w:after="40" w:line="276" w:lineRule="auto"/>
            <w:ind w:left="480"/>
          </w:pPr>
          <w:r>
            <w:t xml:space="preserve">3.5.5 Technical System Evaluation (ISO/IEC 25010)</w:t>
          </w:r>
          <w:r>
            <w:tab/>
          </w:r>
          <w:r>
            <w:t>31</w:t>
          </w:r>
        </w:p>
        <w:p>
          <w:pPr>
            <w:tabs>
              <w:tab w:val="right" w:leader="dot" w:pos="8640"/>
            </w:tabs>
            <w:spacing w:after="40" w:line="276" w:lineRule="auto"/>
            <w:ind w:left="480"/>
          </w:pPr>
          <w:r>
            <w:t xml:space="preserve">3.5.6 Usability Evaluation (System Usability Scale)</w:t>
          </w:r>
          <w:r>
            <w:tab/>
          </w:r>
          <w:r>
            <w:t>32</w:t>
          </w:r>
        </w:p>
        <w:p>
          <w:pPr>
            <w:tabs>
              <w:tab w:val="right" w:leader="dot" w:pos="8640"/>
            </w:tabs>
            <w:spacing w:after="40" w:line="276" w:lineRule="auto"/>
            <w:ind w:left="480"/>
          </w:pPr>
          <w:r>
            <w:t xml:space="preserve">3.5.7 Performance Testing</w:t>
          </w:r>
          <w:r>
            <w:tab/>
          </w:r>
          <w:r>
            <w:t>32</w:t>
          </w:r>
        </w:p>
        <w:p>
          <w:pPr>
            <w:tabs>
              <w:tab w:val="right" w:leader="dot" w:pos="8640"/>
            </w:tabs>
            <w:spacing w:after="40" w:line="276" w:lineRule="auto"/>
            <w:ind w:left="480"/>
          </w:pPr>
          <w:r>
            <w:t xml:space="preserve">3.5.8 Functionality Testing</w:t>
          </w:r>
          <w:r>
            <w:tab/>
          </w:r>
          <w:r>
            <w:t>33</w:t>
          </w:r>
        </w:p>
        <w:p>
          <w:pPr>
            <w:tabs>
              <w:tab w:val="right" w:leader="dot" w:pos="8640"/>
            </w:tabs>
            <w:spacing w:after="40" w:line="276" w:lineRule="auto"/>
            <w:ind w:left="240"/>
          </w:pPr>
          <w:r>
            <w:t xml:space="preserve">3.6 Costing</w:t>
          </w:r>
          <w:r>
            <w:tab/>
          </w:r>
          <w:r>
            <w:t>34</w:t>
          </w:r>
        </w:p>
        <w:p>
          <w:pPr>
            <w:tabs>
              <w:tab w:val="right" w:leader="dot" w:pos="8640"/>
            </w:tabs>
            <w:spacing w:after="40" w:line="276" w:lineRule="auto"/>
            <w:ind w:left="240"/>
          </w:pPr>
          <w:r>
            <w:t xml:space="preserve">3.7 Gantt Chart</w:t>
          </w:r>
          <w:r>
            <w:tab/>
          </w:r>
          <w:r>
            <w:t>35</w:t>
          </w:r>
        </w:p>
        <w:p>
          <w:pPr>
            <w:tabs>
              <w:tab w:val="right" w:leader="dot" w:pos="8640"/>
            </w:tabs>
            <w:spacing w:after="40" w:line="276" w:lineRule="auto"/>
            <w:ind w:left="0"/>
          </w:pPr>
          <w:r>
            <w:t xml:space="preserve">REFERENCES</w:t>
          </w:r>
          <w:r>
            <w:tab/>
          </w:r>
          <w:r>
            <w:t>36</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12</w:t>
          </w:r>
        </w:p>
        <w:p>
          <w:pPr>
            <w:tabs>
              <w:tab w:val="right" w:leader="dot" w:pos="8640"/>
            </w:tabs>
            <w:spacing w:after="40" w:line="276" w:lineRule="auto"/>
            <w:ind w:left="0"/>
          </w:pPr>
          <w:r>
            <w:t xml:space="preserve">Figure 2. System Architecture Diagram</w:t>
          </w:r>
          <w:r>
            <w:tab/>
          </w:r>
          <w:r>
            <w:t>14</w:t>
          </w:r>
        </w:p>
        <w:p>
          <w:pPr>
            <w:tabs>
              <w:tab w:val="right" w:leader="dot" w:pos="8640"/>
            </w:tabs>
            <w:spacing w:after="40" w:line="276" w:lineRule="auto"/>
            <w:ind w:left="0"/>
          </w:pPr>
          <w:r>
            <w:t xml:space="preserve">Figure 3. Entity Relationship Diagram</w:t>
          </w:r>
          <w:r>
            <w:tab/>
          </w:r>
          <w:r>
            <w:t>15</w:t>
          </w:r>
        </w:p>
        <w:p>
          <w:pPr>
            <w:tabs>
              <w:tab w:val="right" w:leader="dot" w:pos="8640"/>
            </w:tabs>
            <w:spacing w:after="40" w:line="276" w:lineRule="auto"/>
            <w:ind w:left="0"/>
          </w:pPr>
          <w:r>
            <w:t xml:space="preserve">Figure 4. Use Case Diagram</w:t>
          </w:r>
          <w:r>
            <w:tab/>
          </w:r>
          <w:r>
            <w:t>16</w:t>
          </w:r>
        </w:p>
        <w:p>
          <w:pPr>
            <w:tabs>
              <w:tab w:val="right" w:leader="dot" w:pos="8640"/>
            </w:tabs>
            <w:spacing w:after="40" w:line="276" w:lineRule="auto"/>
            <w:ind w:left="0"/>
          </w:pPr>
          <w:r>
            <w:t xml:space="preserve">Figure 5. Context Diagram</w:t>
          </w:r>
          <w:r>
            <w:tab/>
          </w:r>
          <w:r>
            <w:t>17</w:t>
          </w:r>
        </w:p>
        <w:p>
          <w:pPr>
            <w:tabs>
              <w:tab w:val="right" w:leader="dot" w:pos="8640"/>
            </w:tabs>
            <w:spacing w:after="40" w:line="276" w:lineRule="auto"/>
            <w:ind w:left="0"/>
          </w:pPr>
          <w:r>
            <w:t xml:space="preserve">Figure 6. Level 1 Data Flow Diagram</w:t>
          </w:r>
          <w:r>
            <w:tab/>
          </w:r>
          <w:r>
            <w:t>18</w:t>
          </w:r>
        </w:p>
        <w:p>
          <w:pPr>
            <w:tabs>
              <w:tab w:val="right" w:leader="dot" w:pos="8640"/>
            </w:tabs>
            <w:spacing w:after="40" w:line="276" w:lineRule="auto"/>
            <w:ind w:left="0"/>
          </w:pPr>
          <w:r>
            <w:t xml:space="preserve">Figure 7. Monitoring Station Hardware Block Diagram</w:t>
          </w:r>
          <w:r>
            <w:tab/>
          </w:r>
          <w:r>
            <w:t>19</w:t>
          </w:r>
        </w:p>
        <w:p>
          <w:pPr>
            <w:tabs>
              <w:tab w:val="right" w:leader="dot" w:pos="8640"/>
            </w:tabs>
            <w:spacing w:after="40" w:line="276" w:lineRule="auto"/>
            <w:ind w:left="0"/>
          </w:pPr>
          <w:r>
            <w:t xml:space="preserve">Figure 8. Circuit Diagram</w:t>
          </w:r>
          <w:r>
            <w:tab/>
          </w:r>
          <w:r>
            <w:t>20</w:t>
          </w:r>
        </w:p>
        <w:p>
          <w:pPr>
            <w:tabs>
              <w:tab w:val="right" w:leader="dot" w:pos="8640"/>
            </w:tabs>
            <w:spacing w:after="40" w:line="276" w:lineRule="auto"/>
            <w:ind w:left="0"/>
          </w:pPr>
          <w:r>
            <w:t xml:space="preserve">Figure 9. System Flowchart</w:t>
          </w:r>
          <w:r>
            <w:tab/>
          </w:r>
          <w:r>
            <w:t>24</w:t>
          </w:r>
        </w:p>
        <w:p>
          <w:pPr>
            <w:tabs>
              <w:tab w:val="right" w:leader="dot" w:pos="8640"/>
            </w:tabs>
            <w:spacing w:after="40" w:line="276" w:lineRule="auto"/>
            <w:ind w:left="0"/>
          </w:pPr>
          <w:r>
            <w:t xml:space="preserve">Figure 10. Stations Dashboard</w:t>
          </w:r>
          <w:r>
            <w:tab/>
          </w:r>
          <w:r>
            <w:t>25</w:t>
          </w:r>
        </w:p>
        <w:p>
          <w:pPr>
            <w:tabs>
              <w:tab w:val="right" w:leader="dot" w:pos="8640"/>
            </w:tabs>
            <w:spacing w:after="40" w:line="276" w:lineRule="auto"/>
            <w:ind w:left="0"/>
          </w:pPr>
          <w:r>
            <w:t xml:space="preserve">Figure 11. Station Details</w:t>
          </w:r>
          <w:r>
            <w:tab/>
          </w:r>
          <w:r>
            <w:t>25</w:t>
          </w:r>
        </w:p>
        <w:p>
          <w:pPr>
            <w:tabs>
              <w:tab w:val="right" w:leader="dot" w:pos="8640"/>
            </w:tabs>
            <w:spacing w:after="40" w:line="276" w:lineRule="auto"/>
            <w:ind w:left="0"/>
          </w:pPr>
          <w:r>
            <w:t xml:space="preserve">Figure 12. Alerts</w:t>
          </w:r>
          <w:r>
            <w:tab/>
          </w:r>
          <w:r>
            <w:t>25</w:t>
          </w:r>
        </w:p>
        <w:p>
          <w:pPr>
            <w:tabs>
              <w:tab w:val="right" w:leader="dot" w:pos="8640"/>
            </w:tabs>
            <w:spacing w:after="40" w:line="276" w:lineRule="auto"/>
            <w:ind w:left="0"/>
          </w:pPr>
          <w:r>
            <w:t xml:space="preserve">Figure 13. Gantt Chart of Project Activities</w:t>
          </w:r>
          <w:r>
            <w:tab/>
          </w:r>
          <w:r>
            <w:t>35</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20</w:t>
          </w:r>
        </w:p>
        <w:p>
          <w:pPr>
            <w:tabs>
              <w:tab w:val="right" w:leader="dot" w:pos="8640"/>
            </w:tabs>
            <w:spacing w:after="40" w:line="276" w:lineRule="auto"/>
            <w:ind w:left="0"/>
          </w:pPr>
          <w:r>
            <w:t xml:space="preserve">Table 3. Estimated Daily Power Budget of One Station (Worst Case, LTE)</w:t>
          </w:r>
          <w:r>
            <w:tab/>
          </w:r>
          <w:r>
            <w:t>21</w:t>
          </w:r>
        </w:p>
        <w:p>
          <w:pPr>
            <w:tabs>
              <w:tab w:val="right" w:leader="dot" w:pos="8640"/>
            </w:tabs>
            <w:spacing w:after="40" w:line="276" w:lineRule="auto"/>
            <w:ind w:left="0"/>
          </w:pPr>
          <w:r>
            <w:t xml:space="preserve">Table 4. Physical Dimensions of Station Components</w:t>
          </w:r>
          <w:r>
            <w:tab/>
          </w:r>
          <w:r>
            <w:t>22</w:t>
          </w:r>
        </w:p>
        <w:p>
          <w:pPr>
            <w:tabs>
              <w:tab w:val="right" w:leader="dot" w:pos="8640"/>
            </w:tabs>
            <w:spacing w:after="40" w:line="276" w:lineRule="auto"/>
            <w:ind w:left="0"/>
          </w:pPr>
          <w:r>
            <w:t xml:space="preserve">Table 5. Hardware Requirements</w:t>
          </w:r>
          <w:r>
            <w:tab/>
          </w:r>
          <w:r>
            <w:t>26</w:t>
          </w:r>
        </w:p>
        <w:p>
          <w:pPr>
            <w:tabs>
              <w:tab w:val="right" w:leader="dot" w:pos="8640"/>
            </w:tabs>
            <w:spacing w:after="40" w:line="276" w:lineRule="auto"/>
            <w:ind w:left="0"/>
          </w:pPr>
          <w:r>
            <w:t xml:space="preserve">Table 6. Software Requirements</w:t>
          </w:r>
          <w:r>
            <w:tab/>
          </w:r>
          <w:r>
            <w:t>27</w:t>
          </w:r>
        </w:p>
        <w:p>
          <w:pPr>
            <w:tabs>
              <w:tab w:val="right" w:leader="dot" w:pos="8640"/>
            </w:tabs>
            <w:spacing w:after="40" w:line="276" w:lineRule="auto"/>
            <w:ind w:left="0"/>
          </w:pPr>
          <w:r>
            <w:t xml:space="preserve">Table 7. Testing and Deployment Schedule</w:t>
          </w:r>
          <w:r>
            <w:tab/>
          </w:r>
          <w:r>
            <w:t>28</w:t>
          </w:r>
        </w:p>
        <w:p>
          <w:pPr>
            <w:tabs>
              <w:tab w:val="right" w:leader="dot" w:pos="8640"/>
            </w:tabs>
            <w:spacing w:after="40" w:line="276" w:lineRule="auto"/>
            <w:ind w:left="0"/>
          </w:pPr>
          <w:r>
            <w:t xml:space="preserve">Table 8. Comparison of Candidate Air Quality Sensors</w:t>
          </w:r>
          <w:r>
            <w:tab/>
          </w:r>
          <w:r>
            <w:t>29</w:t>
          </w:r>
        </w:p>
        <w:p>
          <w:pPr>
            <w:tabs>
              <w:tab w:val="right" w:leader="dot" w:pos="8640"/>
            </w:tabs>
            <w:spacing w:after="40" w:line="276" w:lineRule="auto"/>
            <w:ind w:left="0"/>
          </w:pPr>
          <w:r>
            <w:t xml:space="preserve">Table 9. Durability and Reliability Tests</w:t>
          </w:r>
          <w:r>
            <w:tab/>
          </w:r>
          <w:r>
            <w:t>30</w:t>
          </w:r>
        </w:p>
        <w:p>
          <w:pPr>
            <w:tabs>
              <w:tab w:val="right" w:leader="dot" w:pos="8640"/>
            </w:tabs>
            <w:spacing w:after="40" w:line="276" w:lineRule="auto"/>
            <w:ind w:left="0"/>
          </w:pPr>
          <w:r>
            <w:t xml:space="preserve">Table 10. ISO/IEC 25010 Technical Evaluation Instrument</w:t>
          </w:r>
          <w:r>
            <w:tab/>
          </w:r>
          <w:r>
            <w:t>31</w:t>
          </w:r>
        </w:p>
        <w:p>
          <w:pPr>
            <w:tabs>
              <w:tab w:val="right" w:leader="dot" w:pos="8640"/>
            </w:tabs>
            <w:spacing w:after="40" w:line="276" w:lineRule="auto"/>
            <w:ind w:left="0"/>
          </w:pPr>
          <w:r>
            <w:t xml:space="preserve">Table 11. System Usability Scale (SUS) Questionnaire</w:t>
          </w:r>
          <w:r>
            <w:tab/>
          </w:r>
          <w:r>
            <w:t>32</w:t>
          </w:r>
        </w:p>
        <w:p>
          <w:pPr>
            <w:tabs>
              <w:tab w:val="right" w:leader="dot" w:pos="8640"/>
            </w:tabs>
            <w:spacing w:after="40" w:line="276" w:lineRule="auto"/>
            <w:ind w:left="0"/>
          </w:pPr>
          <w:r>
            <w:t xml:space="preserve">Table 12. Performance Testing for GINHAWA System Components</w:t>
          </w:r>
          <w:r>
            <w:tab/>
          </w:r>
          <w:r>
            <w:t>33</w:t>
          </w:r>
        </w:p>
        <w:p>
          <w:pPr>
            <w:tabs>
              <w:tab w:val="right" w:leader="dot" w:pos="8640"/>
            </w:tabs>
            <w:spacing w:after="40" w:line="276" w:lineRule="auto"/>
            <w:ind w:left="0"/>
          </w:pPr>
          <w:r>
            <w:t xml:space="preserve">Table 13. Functionality Testing for the GINHAWA Monitoring Platform</w:t>
          </w:r>
          <w:r>
            <w:tab/>
          </w:r>
          <w:r>
            <w:t>33</w:t>
          </w:r>
        </w:p>
        <w:p>
          <w:pPr>
            <w:tabs>
              <w:tab w:val="right" w:leader="dot" w:pos="8640"/>
            </w:tabs>
            <w:spacing w:after="40" w:line="276" w:lineRule="auto"/>
            <w:ind w:left="0"/>
          </w:pPr>
          <w:r>
            <w:t xml:space="preserve">Table 14. Estimated Cost of One Monitoring Station</w:t>
          </w:r>
          <w:r>
            <w:tab/>
          </w:r>
          <w:r>
            <w:t>34</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 LilyGO T-SIM7600 board (ESP32 microcontroller with a 4G LTE and GPS modem), an INA219 power monitor, and a solar-charged 12.8 V LiFePO4 battery. Stations transmit data over Wi-Fi, falling back to 4G LTE when Wi-Fi is unavailable, to a backend built with Node.js and PostgreSQL. Users access the data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LilyGO T-SIM7600 (LTE + GPS); LiFePO4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particulate matter (PM1.0, PM2.5, PM4.0, PM10), VOC and NOx indices, temperature, and humidity every second, averages them every 10 seconds, reads its GPS position and battery status, and sends the data to the server over Wi-Fi or 4G LTE. (2) The </w:t>
      </w:r>
      <w:r>
        <w:rPr>
          <w:b/>
          <w:bCs/>
        </w:rPr>
        <w:t xml:space="preserve">backend server</w:t>
      </w:r>
      <w:r>
        <w:t xml:space="preserve"> authenticates each station by its secret key, stores the readings, computes the Air Quality Index, opens and resolves alerts, and pushes live updates to connected users. (3) The </w:t>
      </w:r>
      <w:r>
        <w:rPr>
          <w:b/>
          <w:bCs/>
        </w:rPr>
        <w:t xml:space="preserve">GINHAWA application</w:t>
      </w:r>
      <w:r>
        <w:t xml:space="preserve"> is a mobile-first web application that shows every station on a map and list with its live AQI, history charts, health recommendations, and alerts. Developers (the monitoring personnel) use the same application to register stations, set alert thresholds, and monitor device status.</w:t>
      </w:r>
    </w:p>
    <w:p>
      <w:pPr>
        <w:pStyle w:val="Heading3"/>
        <w:keepNext/>
        <w:spacing w:after="120" w:before="200"/>
      </w:pPr>
      <w:r>
        <w:t xml:space="preserve">3.2.2 System Architecture</w:t>
      </w:r>
    </w:p>
    <w:p>
      <w:pPr>
        <w:keepNext/>
        <w:spacing w:after="60" w:before="120"/>
        <w:jc w:val="center"/>
      </w:pPr>
      <w:r>
        <w:drawing>
          <wp:inline distT="0" distB="0" distL="0" distR="0">
            <wp:extent cx="4754880" cy="6616201"/>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6201"/>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20 W solar panel charges a 12.8 V LiFePO4 battery through a charge controller; the battery is the primary power source and supplies the station day and night through a 12 V-to-5 V buck converter. The Sensirion SEN55 sensor connects to the LilyGO T-SIM7600 board (ESP32 with a SIM7600G-H LTE/GPS modem) over the I²C bus.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users, stations, readings, and alerts.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452197"/>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452197"/>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USERS</w:t>
      </w:r>
      <w:r>
        <w:t xml:space="preserve"> stores registered accounts (email, name, and hashed password); user roles are assigned by the server from a configured list of developer emails. </w:t>
      </w:r>
      <w:r>
        <w:rPr>
          <w:b/>
          <w:bCs/>
        </w:rPr>
        <w:t xml:space="preserve">STATIONS</w:t>
      </w:r>
      <w:r>
        <w:t xml:space="preserve"> stores each monitoring station: its name (location, e.g., Barangay Carmen), landmark,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One user can add many stations, and each station records many readings and raises many alerts. Fields marked with † support the GPS location and battery monitoring features.</w:t>
      </w:r>
    </w:p>
    <w:p>
      <w:pPr>
        <w:pStyle w:val="Heading3"/>
        <w:keepNext/>
        <w:spacing w:after="120" w:before="200"/>
      </w:pPr>
      <w:r>
        <w:t xml:space="preserve">3.2.4 Use Case Diagram</w:t>
      </w:r>
    </w:p>
    <w:p>
      <w:pPr>
        <w:keepNext/>
        <w:spacing w:after="60" w:before="120"/>
        <w:jc w:val="center"/>
      </w:pPr>
      <w:r>
        <w:drawing>
          <wp:inline distT="0" distB="0" distL="0" distR="0">
            <wp:extent cx="4754880" cy="5342604"/>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342604"/>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can log in or register, view the real-time AQI dashboard, view the station map, view station details and history, receive and acknowledge air quality alerts, and export data. The </w:t>
      </w:r>
      <w:r>
        <w:rPr>
          <w:b/>
          <w:bCs/>
        </w:rPr>
        <w:t xml:space="preserve">Monitoring Personnel (Administrator)</w:t>
      </w:r>
      <w:r>
        <w:t xml:space="preserve"> inherits all general-user use cases and additionally performs the administrative functions: adding, editing, and deleting stations; managing sensor keys; setting alert thresholds; monitoring device status (online/offline, battery, and connectivity); and receiving device error notifications.</w:t>
      </w:r>
    </w:p>
    <w:p>
      <w:pPr>
        <w:pStyle w:val="Heading3"/>
        <w:keepNext/>
        <w:spacing w:after="120" w:before="200"/>
      </w:pPr>
      <w:r>
        <w:t xml:space="preserve">3.2.5 Context Diagram</w:t>
      </w:r>
    </w:p>
    <w:p>
      <w:pPr>
        <w:keepNext/>
        <w:spacing w:after="60" w:before="120"/>
        <w:jc w:val="center"/>
      </w:pPr>
      <w:r>
        <w:drawing>
          <wp:inline distT="0" distB="0" distL="0" distR="0">
            <wp:extent cx="5303520" cy="3792546"/>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546"/>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sensor readings, GPS location, battery status, and its sensor key, and receives the current AQI level for its status LED. The </w:t>
      </w:r>
      <w:r>
        <w:rPr>
          <w:b/>
          <w:bCs/>
        </w:rPr>
        <w:t xml:space="preserve">General User</w:t>
      </w:r>
      <w:r>
        <w:t xml:space="preserve"> sends login credentials, view requests, alert acknowledgements, and export requests, and receives real-time AQI, station map and details, alerts, and CSV data. The </w:t>
      </w:r>
      <w:r>
        <w:rPr>
          <w:b/>
          <w:bCs/>
        </w:rPr>
        <w:t xml:space="preserve">Administrator</w:t>
      </w:r>
      <w:r>
        <w:t xml:space="preserve"> sends station details, thresholds, and key rotation requests, and receives device status, error notifications, sensor keys,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947030"/>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947030"/>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Users, D2 Stations, D3 Readings, D4 Alerts). </w:t>
      </w:r>
      <w:r>
        <w:rPr>
          <w:b/>
          <w:bCs/>
        </w:rPr>
        <w:t xml:space="preserve">Process 1.0 Authenticate User</w:t>
      </w:r>
      <w:r>
        <w:t xml:space="preserve"> verifies credentials against D1. </w:t>
      </w:r>
      <w:r>
        <w:rPr>
          <w:b/>
          <w:bCs/>
        </w:rPr>
        <w:t xml:space="preserve">Process 2.0 Manage Stations</w:t>
      </w:r>
      <w:r>
        <w:t xml:space="preserve"> lets the administrator create or update stations and thresholds in D2 and returns the station's sensor key. </w:t>
      </w:r>
      <w:r>
        <w:rPr>
          <w:b/>
          <w:bCs/>
        </w:rPr>
        <w:t xml:space="preserve">Process 3.0 Receive and Validate Readings</w:t>
      </w:r>
      <w:r>
        <w:t xml:space="preserve"> checks the station key against D2, validates the readings, updates the station's location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440003"/>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440003"/>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LTE/GNSS antennas are mounted outdoors. The </w:t>
      </w:r>
      <w:r>
        <w:rPr>
          <w:b/>
          <w:bCs/>
        </w:rPr>
        <w:t xml:space="preserve">IP65 enclosure</w:t>
      </w:r>
      <w:r>
        <w:t xml:space="preserve"> holds the charge controller, 5 A fuse, INA219 power monitor, LiFePO4 battery, buck converter, status LEDs, and the LilyGO T-SIM7600 board. The </w:t>
      </w:r>
      <w:r>
        <w:rPr>
          <w:b/>
          <w:bCs/>
        </w:rPr>
        <w:t xml:space="preserve">radiation shield</w:t>
      </w:r>
      <w:r>
        <w:t xml:space="preserve"> holds the SEN55 sensor separately from the enclosure so that heat from the electronics and battery does not affect the readings and air can flow freely around the sensor. Power paths (12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3856924"/>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856924"/>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PV1 connects to the PV input of the charge controller U1. The battery BT1 connects to U1's battery terminals through fuse F1 and the INA219 current-sense input (U4 VIN+ to VIN−), so the INA219 measures battery voltage and charge/discharge current. U1's load output feeds the buck converter U2, whose 5 V output (with bulk capacitor C2 to absorb LTE transmit current peaks) powers the LilyGO board U3 and the SEN55 (J1 pin 1). J1 pin 5 (SEL) is tied to ground to select I²C mode. The SEN55 and INA219 share the I²C bus on GPIO21 (SDA) and GPIO22 (SCL) with 4.7 kΩ pull-up resistors R3 and R4.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600"/>
        <w:gridCol w:w="1500"/>
        <w:gridCol w:w="27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Modem UART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TX / RX</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 / GPIO26</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Wired on the board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Modem power key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PWRKEY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Wired on the board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the power subsystem was sized from an estimated daily energy budget. Table 3 lists the estimated consumption under the worst case, in which the station uses 4G LTE all day.</w:t>
      </w:r>
    </w:p>
    <w:p>
      <w:pPr>
        <w:pStyle w:val="TableCaption"/>
        <w:keepNext/>
        <w:spacing w:after="120" w:before="240"/>
        <w:jc w:val="center"/>
      </w:pPr>
      <w:r>
        <w:t xml:space="preserve">Table 3. Estimated Daily Power Budget of One Station (Worst Case, LTE)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Hours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Energy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(fan and laser running)</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0.35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8.4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(active, Wi-Fi)</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0.40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9.6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LTE modem and GPS (average)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0.40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9.6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1.2</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Buck converter losses (≈10%)</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2.9</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≈31.7</w:t>
            </w:r>
          </w:p>
        </w:tc>
      </w:tr>
    </w:tbl>
    <w:p>
      <w:pPr>
        <w:spacing w:after="120"/>
      </w:pPr>
    </w:p>
    <w:p>
      <w:pPr>
        <w:spacing w:after="160" w:line="360"/>
        <w:ind w:firstLine="720"/>
        <w:jc w:val="both"/>
      </w:pPr>
      <w:r>
        <w:rPr>
          <w:b/>
          <w:bCs/>
        </w:rPr>
        <w:t xml:space="preserve">Battery sizing.</w:t>
      </w:r>
      <w:r>
        <w:t xml:space="preserve"> A 12.8 V, 12 Ah LiFePO4 battery stores about 154 Wh. Using 80% depth of discharge (≈123 Wh usable), the station can run for about </w:t>
      </w:r>
      <w:r>
        <w:rPr>
          <w:b/>
          <w:bCs/>
        </w:rPr>
        <w:t xml:space="preserve">3.9 days without sunlight</w:t>
      </w:r>
      <w:r>
        <w:t xml:space="preserve"> (123 ÷ 31.7), which covers several consecutive cloudy or rainy days. LiFePO4 was chosen over lithium-ion for its heat tolerance and long cycle life.</w:t>
      </w:r>
    </w:p>
    <w:p>
      <w:pPr>
        <w:spacing w:after="160" w:line="360"/>
        <w:ind w:firstLine="720"/>
        <w:jc w:val="both"/>
      </w:pPr>
      <w:r>
        <w:rPr>
          <w:b/>
          <w:bCs/>
        </w:rPr>
        <w:t xml:space="preserve">Solar sizing.</w:t>
      </w:r>
      <w:r>
        <w:t xml:space="preserve"> With about 4.5 peak sun hours per day and a 75% derating for temperature, dust, and charging losses, a 20 W panel produces about 67.5 Wh per day (20 × 4.5 × 0.75), or about </w:t>
      </w:r>
      <w:r>
        <w:rPr>
          <w:b/>
          <w:bCs/>
        </w:rPr>
        <w:t xml:space="preserve">2.1 times</w:t>
      </w:r>
      <w:r>
        <w:t xml:space="preserve"> the daily consumption, allowing the battery to recover after cloudy days. These values are design estimates; actual consumption and charging will be measured with the INA219 during testing and the sizing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electronics and the sensor are housed separately so that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150 mm × 180 mm (8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 × 250 × 130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battery 12.8 V 12 Ah</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≈151 × 98 × 95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Placed at the bottom of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 board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20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Total station</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[overall height × width × depth after assembly]</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[weight]</w:t>
            </w:r>
            <w:r>
              <w:rPr>
                <w:sz w:val="22"/>
                <w:szCs w:val="22"/>
              </w:rPr>
              <w:t xml:space="preserve"> kg</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shield is positioned away from the electronics enclosure,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is mounted on the shaded side of the pole, as LiFePO4 batteries should be charged below about 45 °C.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The SIM7600G-H modem on the LilyGO board includes a GNSS (GPS) receiver. Each station obtains a position fix at start-up and at regular intervals (every 15 minutes) and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does not require any code or server configuration. The administrator registers the new station in the application, which issues a unique secret key; the same firmware is flashed with that key, and when the station starts reporting it appears automatically on the map and station list for all users, with its location filled in by GPS.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SEN55, INA219, and GPS every second and, every 10 seconds, averages the readings and adds a timestamp and location. If the network is connected, the data is sent by HTTPS to the server; otherwise it is stored in an offline buffer and sent on the next cycle. The server validates the station key and data, saves the reading to PostgreSQL,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12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60" w:line="360"/>
        <w:ind w:firstLine="720"/>
        <w:jc w:val="both"/>
      </w:pPr>
      <w:r>
        <w:t xml:space="preserve">The </w:t>
      </w:r>
      <w:r>
        <w:rPr>
          <w:b/>
          <w:bCs/>
        </w:rPr>
        <w:t xml:space="preserve">Stations Dashboard</w:t>
      </w:r>
      <w:r>
        <w:t xml:space="preserve"> (Figure 10) summarizes the worst air quality right now, the number of stations online, and active alerts, followed by a searchable, sortable list of stations tinted by their AQI level. The </w:t>
      </w:r>
      <w:r>
        <w:rPr>
          <w:b/>
          <w:bCs/>
        </w:rPr>
        <w:t xml:space="preserve">Station Details</w:t>
      </w:r>
      <w:r>
        <w:t xml:space="preserve"> screen (Figure 11) shows the station's current AQI, main pollutant, temperature, humidity, the AQI color scale, health recommendations, the last 12 hours of hourly AQI, all readings with plain-language explanations, and history charts. The </w:t>
      </w:r>
      <w:r>
        <w:rPr>
          <w:b/>
          <w:bCs/>
        </w:rPr>
        <w:t xml:space="preserve">Alerts</w:t>
      </w:r>
      <w:r>
        <w:t xml:space="preserve"> screen (Figure 12) lists ongoing and past threshold exceedances, which users can acknowledge. Administrators additionally see the Add Station screen and station settings (thresholds, sensor keys, and deletion). The station map view and device status panel described in Sections 3.2.11 and 3.5 are part of the next development sprint. The application supports light, dark, and system themes.</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T-SIM7600G-H</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ESP32-WROVER-E + SIMCom SIM7600G-H (4G LTE Cat-4, GNSS)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Wi-Fi, LTE and GPS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 W, 12 V class,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charge controller</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 V, 10 A, LiFePO4 profile, common-negative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and load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battery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12.8 V, 12 Ah (≈154 Wh)</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buck converter</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12 V → 5 V, 3 A, with 1000 µF capacitor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Supplies the board and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and GNSS antennas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and GPS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and 4.7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 × 250 × 130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150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ArduinoJson, TinyGSM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driver, JSON encoding, LTE and GPS modem control</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bcrypt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User authentication and password hashing</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Register the station in the application to obtain its sensor key, and flash the firmware with the key and Wi-Fi credentials.</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10 seconds;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of operation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authorized administrators can add or change stations, and each station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PM, VOC, NOx, temperature, and humidity readings from the SEN55 every second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for at least 72 hours without sunlight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Account registration, login, and logout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Role-based access for administrators and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and acknowledge air quality alerts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Add, edit, and delete stations and rotate sensor keys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Monitor device status: online/offline, battery, and connectivity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T-SIM7600G-H board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₱2,600.00 – ₱3,500.00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and GNSS antennas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20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₱800.00 – ₱1,500.00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charge controller, 10 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₱1,500.00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battery, 12.8 V 12 Ah</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₱2,500.00 – ₱3,500.00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buck converter, 12 V → 5 V 3 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(300 × 250 × 130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₱11,050.00 – ₱19,400.00</w:t>
            </w:r>
          </w:p>
        </w:tc>
      </w:tr>
    </w:tbl>
    <w:p>
      <w:pPr>
        <w:spacing w:after="120"/>
      </w:pPr>
    </w:p>
    <w:p>
      <w:pPr>
        <w:spacing w:after="160" w:line="360"/>
        <w:ind w:firstLine="720"/>
        <w:jc w:val="both"/>
      </w:pPr>
      <w:r>
        <w:t xml:space="preserve">The total estimated cost of one station is ₱11,050.00 to ₱19,400.00, against an initial budget of ₱15,000.00. The lower-cost options (PWM charge controller and self-hosted server) keep one station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13. Gantt Chart of Project Activities</w:t>
      </w:r>
    </w:p>
    <w:p>
      <w:pPr>
        <w:spacing w:after="160" w:line="360"/>
        <w:ind w:firstLine="720"/>
        <w:jc w:val="both"/>
      </w:pPr>
      <w:r>
        <w:t xml:space="preserve">Figure 13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f222b467e7b58d59f54364ea05372f89d07446ad.png"/><Relationship Id="rId14" Type="http://schemas.openxmlformats.org/officeDocument/2006/relationships/image" Target="media/d50ff42c2e490514e91cb13f02caeb9800cf7803.png"/><Relationship Id="rId15" Type="http://schemas.openxmlformats.org/officeDocument/2006/relationships/image" Target="media/7210cf475500ae1cdd4a5f8cc84c54e12fa14531.png"/><Relationship Id="rId16" Type="http://schemas.openxmlformats.org/officeDocument/2006/relationships/image" Target="media/5c9af0c1abdbb4b50936da3a814a6b4345a0765a.png"/><Relationship Id="rId17" Type="http://schemas.openxmlformats.org/officeDocument/2006/relationships/image" Target="media/0e586a2b808df1b4512021ad30a68dcccbf44f28.png"/><Relationship Id="rId18" Type="http://schemas.openxmlformats.org/officeDocument/2006/relationships/image" Target="media/564dc2c0afead72d4c6af70ac2a2a85b0ed32e46.png"/><Relationship Id="rId19" Type="http://schemas.openxmlformats.org/officeDocument/2006/relationships/image" Target="media/e2efcd55ea9e060e23bea14cd41ae548f6b95fc9.png"/><Relationship Id="rId20" Type="http://schemas.openxmlformats.org/officeDocument/2006/relationships/image" Target="media/e6a1be4ae79745d49d242eb5dafaec03afde0437.png"/><Relationship Id="rId21" Type="http://schemas.openxmlformats.org/officeDocument/2006/relationships/image" Target="media/c662297b1e108e3029fd2d7607063ad910666065.png"/><Relationship Id="rId22" Type="http://schemas.openxmlformats.org/officeDocument/2006/relationships/image" Target="media/044dcd5403cb92f4e80e0f4972f6667f1c11c8ab.png"/><Relationship Id="rId23" Type="http://schemas.openxmlformats.org/officeDocument/2006/relationships/image" Target="media/3bab29e079653bd64868c43384505e5fbe533e94.png"/><Relationship Id="rId24" Type="http://schemas.openxmlformats.org/officeDocument/2006/relationships/image" Target="media/954ae32779f6e4764c679a0f0bb1832c174efd2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2026-09-26T10:12:10.003Z</dcterms:created>
  <dcterms:modified xsi:type="dcterms:W3CDTF">2026-09-26T10:12:10.003Z</dcterms:modified>
</cp:coreProperties>
</file>

<file path=docProps/custom.xml><?xml version="1.0" encoding="utf-8"?>
<Properties xmlns="http://schemas.openxmlformats.org/officeDocument/2006/custom-properties" xmlns:vt="http://schemas.openxmlformats.org/officeDocument/2006/docPropsVTypes"/>
</file>