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SUMMARY OF REVISIONS</w:t>
      </w:r>
    </w:p>
    <w:p>
      <w:pPr>
        <w:spacing w:after="80"/>
        <w:jc w:val="center"/>
      </w:pPr>
      <w:r>
        <w:rPr>
          <w:i/>
          <w:iCs/>
        </w:rPr>
        <w:t xml:space="preserve">GINHAWA: A Mobile-Integrated IoT Air Quality Monitoring System for High-Foot-Traffic in Barangay Carmen</w:t>
      </w:r>
    </w:p>
    <w:p>
      <w:pPr>
        <w:spacing w:after="240"/>
        <w:jc w:val="center"/>
      </w:pPr>
      <w:r>
        <w:t xml:space="preserve">Capstone Project Proposal Defense – June 4, 2026</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300"/>
        <w:gridCol w:w="6300"/>
        <w:gridCol w:w="1760"/>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jc w:val="center"/>
            </w:pPr>
            <w:r>
              <w:rPr>
                <w:b/>
                <w:bCs/>
                <w:sz w:val="20"/>
                <w:szCs w:val="20"/>
              </w:rPr>
              <w:t xml:space="preserve">No.</w:t>
            </w:r>
          </w:p>
        </w:tc>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jc w:val="center"/>
            </w:pPr>
            <w:r>
              <w:rPr>
                <w:b/>
                <w:bCs/>
                <w:sz w:val="20"/>
                <w:szCs w:val="20"/>
              </w:rPr>
              <w:t xml:space="preserve">Panel Comment / Recommendation</w:t>
            </w:r>
          </w:p>
        </w:tc>
        <w:tc>
          <w:tcPr>
            <w:tcW w:type="dxa" w:w="6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jc w:val="center"/>
            </w:pPr>
            <w:r>
              <w:rPr>
                <w:b/>
                <w:bCs/>
                <w:sz w:val="20"/>
                <w:szCs w:val="20"/>
              </w:rPr>
              <w:t xml:space="preserve">Revision Made</w:t>
            </w:r>
          </w:p>
        </w:tc>
        <w:tc>
          <w:tcPr>
            <w:tcW w:type="dxa" w:w="1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jc w:val="center"/>
            </w:pPr>
            <w:r>
              <w:rPr>
                <w:b/>
                <w:bCs/>
                <w:sz w:val="20"/>
                <w:szCs w:val="20"/>
              </w:rPr>
              <w:t xml:space="preserve">Location</w:t>
            </w:r>
          </w:p>
        </w:tc>
      </w:tr>
      <w:tr>
        <w:tc>
          <w:tcPr>
            <w:tcW w:type="dxa" w:w="12960"/>
            <w:gridSpan w:val="4"/>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top"/>
          </w:tcPr>
          <w:p>
            <w:pPr>
              <w:spacing w:after="40"/>
              <w:jc w:val="left"/>
            </w:pPr>
            <w:r>
              <w:rPr>
                <w:b/>
                <w:bCs/>
                <w:sz w:val="20"/>
                <w:szCs w:val="20"/>
              </w:rPr>
              <w:t xml:space="preserve">Comments from Mr. Dario C. Miñoza, Jr., MIT (Member)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Improve and standardize the IoT hardware and technical design documentation.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hardware block diagram, a standard circuit diagram with reference designators, a pin assignment table, hardware requirements with specifications, and a bill of materials (costing).</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3.2.7–3.2.8, 3.3.1, 3.6; Figs. 7–8; Tables 2, 5, 14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Revise the circuit diagram using proper circuit diagram standards and symbols.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Redrew the circuit diagram in draw.io using standard electrical symbols (solar cell, battery, fuse, resistors, capacitor, antennas, ground), reference designators, pin numbers, net labels, and a title block.</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3.2.8; Fig. 8</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 complete dimensions and measurements for the 3D model (height, width, depth, actual scale).</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table of physical dimensions; the station is now one compact unit of about 150 × 110 × 260 mm (≈0.8 kg) plus the solar panel. </w:t>
            </w:r>
            <w:r>
              <w:rPr>
                <w:sz w:val="20"/>
                <w:szCs w:val="20"/>
                <w:highlight w:val="yellow"/>
              </w:rPr>
              <w:t xml:space="preserve">[Remaining: measure the A7670SA module and panel, then update the 3D model with the listed dimensions and insert it.]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Table 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Strengthen hardware feasibility, deployment, and sensor validation.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power budget with battery and solar sizing, a deployment plan, and a sensor validation protocol with accuracy metrics and acceptance targets.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3.2.9, 3.4, 3.5.1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Specify solar panel capacity, battery requirements, and total power consumption.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Specified a compact power system: 6 V 6 W panel, 3 × 18650 Li-ion cells (3.7 V 9 Ah, ≈33 Wh) with BMS, and ≈8.1 Wh/day estimated consumption on Wi-Fi (≈12.2 Wh/day on LTE) using a power-saving schedule (≈3.3 days without sun on Wi-Fi, ≈2.2 on LTE; ≈20.3 Wh/day solar yield).</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3.2.9; Table 3</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Conduct laboratory testing and comparison of sensors for accuracy, reliability, and suitability.</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comparison of candidate sensors (SEN55, PMS5003 + SGP41, MQ-135) and a laboratory test plan: stability, unit-to-unit, comparison unit, and co-location with a reference instrument using R², MAE, RMSE, and bias against U.S. EPA targets.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3.5.1; Table 8</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Clarify the placement and effectiveness of the sensors in the enclosure design.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The SEN55 is now in a separate radiation shield (inlet down, louvered, insect mesh), away from the sealed electronics enclosure, at breathing height.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Fig. 7</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8</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Ensure sensor placement captures air and particulate readings without obstruction.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Placement rules: open air on all sides, away from walls, exhaust outlets, and enclosure heat; 1.5–3.0 m mounting height.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3.4.2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9</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Redesign ventilation and enclosure positioning if necessary.</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Redesigned: sealed IP65 enclosure with breathable vent for electronics; ventilated radiation shield for the sensor; enclosure on the shaded side of the pole.</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10</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Include GPS and scalability in the system architecture and mobile application.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GPS through the GNSS receiver built into the A7670SA LTE module and GPS fields to the architecture, ERD, context diagram, DFD, and application (station map).</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3.2.2–3.2.6, 3.2.11; Figs. 2–6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Clarify how device locations are tracked and updated in the map.</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Each station reads its GPS position at start-up and every 15 minutes and sends it with its readings; the server updates the location and the map marker automatically; last known location is kept if there is no fix.</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Support multiple IoT stations without manual developer configuration.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Stations add themselves: every station runs the same firmware with a team secret, registers itself with its ESP32 hardware ID on first power-on, receives its own key, and is named after its barangay from its GPS position. No code, server, or in-app setup is needed per station; the team can rename, remove, or block a station.</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3.2.6, 3.2.11; Fig. 6; Obj. 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Improve deployment durability and outdoor readiness.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enclosure, waterproofing, and heat-protection design, plus durability and reliability tests with acceptance criteria.</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3.5.2; Table 9</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Ensure the casing is waterproof and suitable for outdoor conditions.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IP65 enclosure with cable glands, breathable vent, silica gel, conformal coating; water spray test before deployment.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3.5.2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Consider 3D-printed waterproof enclosures.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Radiation shield and mounting brackets are 3D-printed in UV-resistant ASA/PETG, allowing custom fit and easy replacement.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Tables 4, 14</w:t>
            </w:r>
          </w:p>
        </w:tc>
      </w:tr>
      <w:tr>
        <w:tc>
          <w:tcPr>
            <w:tcW w:type="dxa" w:w="12960"/>
            <w:gridSpan w:val="4"/>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top"/>
          </w:tcPr>
          <w:p>
            <w:pPr>
              <w:spacing w:after="40"/>
              <w:jc w:val="left"/>
            </w:pPr>
            <w:r>
              <w:rPr>
                <w:b/>
                <w:bCs/>
                <w:sz w:val="20"/>
                <w:szCs w:val="20"/>
              </w:rPr>
              <w:t xml:space="preserve">Comments from Mr. Jhon Harvey C. Babia (Member)</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Strengthen the Introduction and Background (air quality monitoring, pollution concerns, government initiatives).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Expanded the background (pollutants, WHO 2021 guidelines, RA 8749, DENR-EMB monitoring, anti-smoke-belching, PUV Modernization) and added a literature section on air quality, pollution, and government initiatives.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1.1, 2.1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Review existing Air Quality Monitoring studies and previous IT/CS capstone projects.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Reorganized and expanded local and foreign literature; added a Related Capstone Projects section. </w:t>
            </w:r>
            <w:r>
              <w:rPr>
                <w:sz w:val="20"/>
                <w:szCs w:val="20"/>
                <w:highlight w:val="yellow"/>
              </w:rPr>
              <w:t xml:space="preserve">[Remaining: add the 2–3 capstone projects the group reviewed.]</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2.2–2.4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18</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Ensure clear distinctions and unique contributions.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synthesis listing six distinguishing features of GINHAWA.</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2.10</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19</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Clearly justify the selection of Barangay Carmen (traffic congestion, urbanization, pollution exposure, public activity).</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justification paragraph organized by the four factors. </w:t>
            </w:r>
            <w:r>
              <w:rPr>
                <w:sz w:val="20"/>
                <w:szCs w:val="20"/>
                <w:highlight w:val="yellow"/>
              </w:rPr>
              <w:t xml:space="preserve">[Remaining: insert PSA population data and the named candidate sites.]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1.1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20</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Coordinate formally with the Barangay or LGU.</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the coordination procedure (letter of intent to the Punong Barangay, presentation to the Sangguniang Barangay, written permission). </w:t>
            </w:r>
            <w:r>
              <w:rPr>
                <w:sz w:val="20"/>
                <w:szCs w:val="20"/>
                <w:highlight w:val="yellow"/>
              </w:rPr>
              <w:t xml:space="preserve">[Remaining: attach the permission letter in the appendices.]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3.4.1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Gather supporting environmental or traffic-related information.</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Plan to request data from the barangay, City ENRO, and DENR-EMB Region 10. </w:t>
            </w:r>
            <w:r>
              <w:rPr>
                <w:sz w:val="20"/>
                <w:szCs w:val="20"/>
                <w:highlight w:val="yellow"/>
              </w:rPr>
              <w:t xml:space="preserve">[Remaining: add the data once obtained.]</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3.4.1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 deployment in the system objectives.</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deployment to the general objective and as Specific Objective 5.</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1.3</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23</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Clarify the physical deployment process (where, how mounted, outdoor setup, environment).</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site selection criteria, a six-step installation and mounting procedure, and mounting height and orientation.</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3.4.1–3.4.2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24</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Address hardware durability and environmental resistance (waterproofing, heat, dust, outdoor exposure).</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enclosure and shield design with tests for rain, heat, dust, power autonomy, and connectivity.</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3.2.10, 3.5.2; Table 9</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25</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Explain testing and deployment procedures (monitoring duration, data collection schedule, reliability and outdoor testing).</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schedule: 2-week lab testing, 7-day co-location, 14-day outdoor test, 30-day pilot; readings averaged and uploaded every minute (PM measured 1 minute in every 5), hourly analysis, peak-hour focus; uptime ≥95% and data completeness ≥90% targets.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3.4.3, 3.5; Tables 7, 9</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26</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Improve the comparison of related studies and include the proposed system.</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Rebuilt Table 1 with the proposed system and its technologies, unique features, and contributions.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2.11; Table 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27</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Clarify actual users in the Use Case Diagram; remove actors that do not interact directly.</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Actors are now General User (commuters, barangay officials, environmental staff; no account needed) and Monitoring Personnel (Administrator) only; stations are not actors and add themselves.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3.2.4; Fig. 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28</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 administrative functionality (login, dashboard, device monitoring, error notifications, data management).</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Added a small Admin login (shared team passcode, reached from Settings) with station management (rename, thresholds, remove, block), alert acknowledgement, device status, error notifications, and data export, plus matching use cases and functionality tests. The prototype's Station status card shows each station's battery, connection, location, and last particle measurement.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3.2.4, 3.2.13, 3.5.8; Figs. 4, 13–15; Table 13</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29</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Remove system components (IoT node, backend server, sensors) from the Use Case Diagram.</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Removed; components appear only in the architecture, block, context, and data flow diagrams.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Fig. 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30</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Standardize diagram notation (Context Diagram, DFD, Use Case Diagram).</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All diagrams redrawn in one style in draw.io: UML use case, crow's-foot ERD, Gane–Sarson context diagram and DFD, standard electrical symbols, ANSI flowchart.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Sec. 3.2; Figs. 1–9</w:t>
            </w:r>
          </w:p>
        </w:tc>
      </w:tr>
      <w:tr>
        <w:tc>
          <w:tcPr>
            <w:tcW w:type="dxa" w:w="12960"/>
            <w:gridSpan w:val="4"/>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top"/>
          </w:tcPr>
          <w:p>
            <w:pPr>
              <w:spacing w:after="40"/>
              <w:jc w:val="left"/>
            </w:pPr>
            <w:r>
              <w:rPr>
                <w:b/>
                <w:bCs/>
                <w:sz w:val="20"/>
                <w:szCs w:val="20"/>
              </w:rPr>
              <w:t xml:space="preserve">Other revisions (not requested, for consistency)</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31</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Document organization and formatting.</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Rearranged into a consistent structure: numbered sections and subsections; automatic table of contents and lists of figures and tables; consistent captions (tables above, figures below); Times New Roman 12, 1.5 spacing; 1.5-inch binding margin; roman-numbered front matter.</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Whole document</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center"/>
            </w:pPr>
            <w:r>
              <w:rPr>
                <w:sz w:val="20"/>
                <w:szCs w:val="20"/>
              </w:rPr>
              <w:t xml:space="preserve">32</w:t>
            </w:r>
          </w:p>
        </w:tc>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Consistency with the developed system.</w:t>
            </w:r>
          </w:p>
        </w:tc>
        <w:tc>
          <w:tcPr>
            <w:tcW w:type="dxa" w:w="6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Updated the architecture, hardware, software, database, evaluation instruments, and costing to the implemented design (SEN55, ESP32 DevKit with A7670SA LTE + GNSS module, solar + 18650 Li-ion, Wi-Fi/LTE, Node.js, PostgreSQL, React). Replaced dashboard mockups with screenshots of the working prototype and updated the Gantt chart.</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sz w:val="20"/>
                <w:szCs w:val="20"/>
              </w:rPr>
              <w:t xml:space="preserve">Ch. III; Figs. 10–16</w:t>
            </w:r>
          </w:p>
        </w:tc>
      </w:tr>
    </w:tbl>
    <w:p>
      <w:pPr>
        <w:spacing w:before="240"/>
      </w:pPr>
      <w:r>
        <w:t xml:space="preserve">Items marked </w:t>
      </w:r>
      <w:r>
        <w:rPr>
          <w:highlight w:val="yellow"/>
        </w:rPr>
        <w:t xml:space="preserve">[like this]</w:t>
      </w:r>
      <w:r>
        <w:t xml:space="preserve"> still need input from the proponents before resubmission.</w:t>
      </w:r>
    </w:p>
    <w:p>
      <w:pPr>
        <w:spacing w:before="480"/>
      </w:pPr>
      <w:r>
        <w:t xml:space="preserve">Prepared by: ____________________________        Noted by (Adviser): ____________________________</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2026-10-10T01:54:44.923Z</dcterms:created>
  <dcterms:modified xsi:type="dcterms:W3CDTF">2026-10-10T01:54:44.923Z</dcterms:modified>
</cp:coreProperties>
</file>

<file path=docProps/custom.xml><?xml version="1.0" encoding="utf-8"?>
<Properties xmlns="http://schemas.openxmlformats.org/officeDocument/2006/custom-properties" xmlns:vt="http://schemas.openxmlformats.org/officeDocument/2006/docPropsVTypes"/>
</file>