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8"/>
          <w:szCs w:val="28"/>
        </w:rPr>
        <w:t xml:space="preserve">SUMMARY OF REVISIONS</w:t>
      </w:r>
    </w:p>
    <w:p>
      <w:pPr>
        <w:spacing w:after="80"/>
        <w:jc w:val="center"/>
      </w:pPr>
      <w:r>
        <w:rPr>
          <w:i/>
          <w:iCs/>
        </w:rPr>
        <w:t xml:space="preserve">GINHAWA: A Mobile-Integrated IoT Air Quality Monitoring System for High-Foot-Traffic in Barangay Carmen</w:t>
      </w:r>
    </w:p>
    <w:p>
      <w:pPr>
        <w:spacing w:after="240"/>
        <w:jc w:val="center"/>
      </w:pPr>
      <w:r>
        <w:t xml:space="preserve">Capstone Project Proposal Defense – June 4, 2026</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300"/>
        <w:gridCol w:w="6300"/>
        <w:gridCol w:w="1760"/>
      </w:tblGrid>
      <w:tr>
        <w:trPr>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No.</w:t>
            </w:r>
          </w:p>
        </w:tc>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Panel Comment / Recommendation</w:t>
            </w:r>
          </w:p>
        </w:tc>
        <w:tc>
          <w:tcPr>
            <w:tcW w:type="dxa" w:w="6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Revision Made</w:t>
            </w:r>
          </w:p>
        </w:tc>
        <w:tc>
          <w:tcPr>
            <w:tcW w:type="dxa" w:w="176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Location</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Comments from Mr. Dario C. Miñoza, Jr., MIT (Member)</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and standardize the IoT hardware and technical design documentation.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hardware block diagram, a standard circuit diagram with reference designators, a pin assignment table, hardware requirements with specifications, and a bill of materials (costing).</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3.2.7–3.2.8, 3.3.1, 3.6; Figs. 7–8; Tables 2, 5, 14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Revise the circuit diagram using proper circuit diagram standards and symbols.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Redrew the circuit diagram in draw.io using standard electrical symbols (solar cell, battery, fuse, resistors, LEDs, capacitor, antenna, ground), reference designators, pin numbers, net labels, and a title block.</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3.2.8; Fig. 8</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complete dimensions and measurements for the 3D model (height, width, depth, actual scale).</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table of physical dimensions; the station is now one compact unit of about 150 × 110 × 260 mm (≈0.8 kg) plus the solar panel. </w:t>
            </w:r>
            <w:r>
              <w:rPr>
                <w:sz w:val="20"/>
                <w:szCs w:val="20"/>
                <w:highlight w:val="yellow"/>
              </w:rPr>
              <w:t xml:space="preserve">[Remaining: measure the LTE/GPS modules and panel, then update the 3D model with the listed dimensions and insert it.]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Table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Strengthen hardware feasibility, deployment, and sensor validation.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power budget with battery and solar sizing, a deployment plan, and a sensor validation protocol with accuracy metrics and acceptance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3.2.9, 3.4, 3.5.1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Specify solar panel capacity, battery requirements, and total power consumption.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Specified a compact power system: 6 V 6 W panel, 3 × 18650 Li-ion cells (3.7 V 9 Ah, ≈33 Wh) with BMS, and ≈7.5 Wh/day estimated consumption on Wi-Fi (≈11.6 Wh/day on LTE) using a power-saving schedule (≈3.5 days without sun on Wi-Fi, ≈2.3 on LTE; ≈20.3 Wh/day solar yield).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3.2.9; Table 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Conduct laboratory testing and comparison of sensors for accuracy, reliability, and suitability.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comparison of candidate sensors (SEN55, PMS5003 + SGP41, MQ-135) and a laboratory test plan: stability, unit-to-unit, comparison unit, and co-location with a reference instrument using R², MAE, RMSE, and bias against U.S. EPA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3.5.1; Table 8</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the placement and effectiveness of the sensors in the enclosure design.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The SEN55 is now in a separate radiation shield (inlet down, louvered, insect mesh), away from the sealed electronics enclosure, at breathing height.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Fig. 7</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sensor placement captures air and particulate readings without obstruction.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Placement rules: open air on all sides, away from walls, exhaust outlets, and enclosure heat; 1.5–3.0 m mounting height.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3.4.2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Redesign ventilation and enclosure positioning if necessary.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Redesigned: sealed IP65 enclosure with breathable vent for electronics; ventilated radiation shield for the sensor; enclosure on the shaded side of the pole.</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Include GPS and scalability in the system architecture and mobile application.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GPS module (ATGM336H) on the ESP32 and GPS fields to the architecture, ERD, context diagram, DFD, and application (station map).</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3.2.2–3.2.6, 3.2.11; Figs. 2–6</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how device locations are tracked and updated in the map.</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Each station reads its GPS position at start-up and every 15 minutes and sends it with its readings; the server updates the location and the map marker automatically; last known location is kept if there is no fix.</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Support multiple IoT stations without manual developer configuration.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Adding a station requires only registering it in the app (issues a key) and flashing the same firmware; no code or server changes; the station appears on the map automatically with its GPS location.</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3.2.11; Obj.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deployment durability and outdoor readiness.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enclosure, waterproofing, and heat-protection design, plus durability and reliability tests with acceptance criteria.</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 Table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the casing is waterproof and suitable for outdoor conditions.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IP65 enclosure with cable glands, breathable vent, silica gel, conformal coating; water spray test before deployment.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Consider 3D-printed waterproof enclosures.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Radiation shield and mounting brackets are 3D-printed in UV-resistant ASA/PETG, allowing custom fit and easy replacement.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Tables 4, 14</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Comments from Mr. Jhon Harvey C. Babia (Member)</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Strengthen the Introduction and Background (air quality monitoring, pollution concerns, government initiatives).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Expanded the background (pollutants, WHO 2021 guidelines, RA 8749, DENR-EMB monitoring, anti-smoke-belching, PUV Modernization) and added a literature section on air quality, pollution, and government initiatives.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1.1, 2.1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Review existing Air Quality Monitoring studies and previous IT/CS capstone projects.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Reorganized and expanded local and foreign literature; added a Related Capstone Projects section. </w:t>
            </w:r>
            <w:r>
              <w:rPr>
                <w:sz w:val="20"/>
                <w:szCs w:val="20"/>
                <w:highlight w:val="yellow"/>
              </w:rPr>
              <w:t xml:space="preserve">[Remaining: add the 2–3 capstone projects the group reviewed.]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2.2–2.4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clear distinctions and unique contributions.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synthesis listing six distinguishing features of GINHAWA.</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2.10</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Clearly justify the selection of Barangay Carmen (traffic congestion, urbanization, pollution exposure, public activity).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justification paragraph organized by the four factors. </w:t>
            </w:r>
            <w:r>
              <w:rPr>
                <w:sz w:val="20"/>
                <w:szCs w:val="20"/>
                <w:highlight w:val="yellow"/>
              </w:rPr>
              <w:t xml:space="preserve">[Remaining: insert PSA population data and the named candidate sites.]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Coordinate formally with the Barangay or LGU.</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the coordination procedure (letter of intent to the Punong Barangay, presentation to the Sangguniang Barangay, written permission). </w:t>
            </w:r>
            <w:r>
              <w:rPr>
                <w:sz w:val="20"/>
                <w:szCs w:val="20"/>
                <w:highlight w:val="yellow"/>
              </w:rPr>
              <w:t xml:space="preserve">[Remaining: attach the permission letter in the appendices.]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Gather supporting environmental or traffic-related information.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Plan to request data from the barangay, City ENRO, and DENR-EMB Region 10. </w:t>
            </w:r>
            <w:r>
              <w:rPr>
                <w:sz w:val="20"/>
                <w:szCs w:val="20"/>
                <w:highlight w:val="yellow"/>
              </w:rPr>
              <w:t xml:space="preserve">[Remaining: add the data once obtained.]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deployment in the system objectives.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deployment to the general objective and as Specific Objective 5.</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the physical deployment process (where, how mounted, outdoor setup, environment).</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site selection criteria, a six-step installation and mounting procedure, and mounting height and orientation.</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3.4.1–3.4.2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Address hardware durability and environmental resistance (waterproofing, heat, dust, outdoor exposure).</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enclosure and shield design with tests for rain, heat, dust, power autonomy, and connectivity.</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 Table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Explain testing and deployment procedures (monitoring duration, data collection schedule, reliability and outdoor testing).</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schedule: 2-week lab testing, 7-day co-location, 14-day outdoor test, 30-day pilot; readings averaged and uploaded every minute (PM measured 1 minute in every 5), hourly analysis, peak-hour focus; uptime ≥95% and data completeness ≥90%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3.4.3, 3.5; Tables 7,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the comparison of related studies and include the proposed system.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Rebuilt Table 1 with the proposed system and its technologies, unique features, and contributions.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2.11; Table 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actual users in the Use Case Diagram; remove actors that do not interact directly.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Actors are now General User (commuters, barangay officials, environmental staff) and Monitoring Personnel (Administrator) only.</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3.2.4; Fig.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administrative functionality (login, dashboard, device monitoring, error notifications, data management).</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administrator use cases and functionality tests for login, station management, sensor keys, thresholds, device status, error notifications, and data export. The prototype's Station status card shows each station's battery, connection, location, and last particle measurement.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3.2.4, 3.2.13, 3.5.8; Fig. 4; Table 13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Remove system components (IoT node, backend server, sensors) from the Use Case Diagram.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Removed; components appear only in the architecture, block, context, and data flow diagrams.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Fig.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Standardize diagram notation (Context Diagram, DFD, Use Case Diagram).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All diagrams redrawn in one style in draw.io: UML use case, crow's-foot ERD, Gane–Sarson context diagram and DFD, standard electrical symbols, ANSI flowchart.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 Figs. 1–9</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Other revisions (not requested, for consistency)</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Document organization and formatting.</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Rearranged into a consistent structure: numbered sections and subsections; automatic table of contents and lists of figures and tables; consistent captions (tables above, figures below); Times New Roman 12, 1.5 spacing; 1.5-inch binding margin; roman-numbered front matter.</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Whole document</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Consistency with the developed system.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Updated the architecture, hardware, software, database, evaluation instruments, and costing to the implemented design (SEN55, ESP32 DevKit with A7670 LTE and GPS modules, solar + 18650 Li-ion, Wi-Fi/LTE, Node.js, PostgreSQL, React). Replaced dashboard mockups with screenshots of the working prototype and updated the Gantt chart.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Ch. III; Figs. 10–13</w:t>
            </w:r>
          </w:p>
        </w:tc>
      </w:tr>
    </w:tbl>
    <w:p>
      <w:pPr>
        <w:spacing w:before="240"/>
      </w:pPr>
      <w:r>
        <w:t xml:space="preserve">Items marked </w:t>
      </w:r>
      <w:r>
        <w:rPr>
          <w:highlight w:val="yellow"/>
        </w:rPr>
        <w:t xml:space="preserve">[like this]</w:t>
      </w:r>
      <w:r>
        <w:t xml:space="preserve"> still need input from the proponents before resubmission.</w:t>
      </w:r>
    </w:p>
    <w:p>
      <w:pPr>
        <w:spacing w:before="480"/>
      </w:pPr>
      <w:r>
        <w:t xml:space="preserve">Prepared by: ____________________________        Noted by (Adviser): ____________________________</w:t>
      </w:r>
    </w:p>
    <w:sectPr>
      <w:pgSz w:w="15840" w:h="12240" w:orient="landscape"/>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2026-09-30T06:57:09.343Z</dcterms:created>
  <dcterms:modified xsi:type="dcterms:W3CDTF">2026-09-30T06:57:09.343Z</dcterms:modified>
</cp:coreProperties>
</file>

<file path=docProps/custom.xml><?xml version="1.0" encoding="utf-8"?>
<Properties xmlns="http://schemas.openxmlformats.org/officeDocument/2006/custom-properties" xmlns:vt="http://schemas.openxmlformats.org/officeDocument/2006/docPropsVTypes"/>
</file>