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16</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24</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30</w:t>
          </w:r>
        </w:p>
        <w:p>
          <w:pPr>
            <w:tabs>
              <w:tab w:val="right" w:leader="dot" w:pos="8640"/>
            </w:tabs>
            <w:spacing w:after="40" w:line="276" w:lineRule="auto"/>
            <w:ind w:left="480"/>
          </w:pPr>
          <w:r>
            <w:t xml:space="preserve">3.3.1 Hardware Requirements</w:t>
          </w:r>
          <w:r>
            <w:tab/>
          </w:r>
          <w:r>
            <w:t>30</w:t>
          </w:r>
        </w:p>
        <w:p>
          <w:pPr>
            <w:tabs>
              <w:tab w:val="right" w:leader="dot" w:pos="8640"/>
            </w:tabs>
            <w:spacing w:after="40" w:line="276" w:lineRule="auto"/>
            <w:ind w:left="480"/>
          </w:pPr>
          <w:r>
            <w:t xml:space="preserve">3.3.2 Software Requirements</w:t>
          </w:r>
          <w:r>
            <w:tab/>
          </w:r>
          <w:r>
            <w:t>31</w:t>
          </w:r>
        </w:p>
        <w:p>
          <w:pPr>
            <w:tabs>
              <w:tab w:val="right" w:leader="dot" w:pos="8640"/>
            </w:tabs>
            <w:spacing w:after="40" w:line="276" w:lineRule="auto"/>
            <w:ind w:left="240"/>
          </w:pPr>
          <w:r>
            <w:t xml:space="preserve">3.4 Deployment Plan</w:t>
          </w:r>
          <w:r>
            <w:tab/>
          </w:r>
          <w:r>
            <w:t>32</w:t>
          </w:r>
        </w:p>
        <w:p>
          <w:pPr>
            <w:tabs>
              <w:tab w:val="right" w:leader="dot" w:pos="8640"/>
            </w:tabs>
            <w:spacing w:after="40" w:line="276" w:lineRule="auto"/>
            <w:ind w:left="480"/>
          </w:pPr>
          <w:r>
            <w:t xml:space="preserve">3.4.1 Site Selection and Coordination with the Barangay</w:t>
          </w:r>
          <w:r>
            <w:tab/>
          </w:r>
          <w:r>
            <w:t>32</w:t>
          </w:r>
        </w:p>
        <w:p>
          <w:pPr>
            <w:tabs>
              <w:tab w:val="right" w:leader="dot" w:pos="8640"/>
            </w:tabs>
            <w:spacing w:after="40" w:line="276" w:lineRule="auto"/>
            <w:ind w:left="480"/>
          </w:pPr>
          <w:r>
            <w:t xml:space="preserve">3.4.2 Installation and Mounting</w:t>
          </w:r>
          <w:r>
            <w:tab/>
          </w:r>
          <w:r>
            <w:t>32</w:t>
          </w:r>
        </w:p>
        <w:p>
          <w:pPr>
            <w:tabs>
              <w:tab w:val="right" w:leader="dot" w:pos="8640"/>
            </w:tabs>
            <w:spacing w:after="40" w:line="276" w:lineRule="auto"/>
            <w:ind w:left="480"/>
          </w:pPr>
          <w:r>
            <w:t xml:space="preserve">3.4.3 Monitoring Duration and Data Collection Schedule</w:t>
          </w:r>
          <w:r>
            <w:tab/>
          </w:r>
          <w:r>
            <w:t>33</w:t>
          </w:r>
        </w:p>
        <w:p>
          <w:pPr>
            <w:tabs>
              <w:tab w:val="right" w:leader="dot" w:pos="8640"/>
            </w:tabs>
            <w:spacing w:after="40" w:line="276" w:lineRule="auto"/>
            <w:ind w:left="240"/>
          </w:pPr>
          <w:r>
            <w:t xml:space="preserve">3.5 Testing and Evaluation</w:t>
          </w:r>
          <w:r>
            <w:tab/>
          </w:r>
          <w:r>
            <w:t>33</w:t>
          </w:r>
        </w:p>
        <w:p>
          <w:pPr>
            <w:tabs>
              <w:tab w:val="right" w:leader="dot" w:pos="8640"/>
            </w:tabs>
            <w:spacing w:after="40" w:line="276" w:lineRule="auto"/>
            <w:ind w:left="480"/>
          </w:pPr>
          <w:r>
            <w:t xml:space="preserve">3.5.1 Sensor Selection, Laboratory Testing, and Validation</w:t>
          </w:r>
          <w:r>
            <w:tab/>
          </w:r>
          <w:r>
            <w:t>33</w:t>
          </w:r>
        </w:p>
        <w:p>
          <w:pPr>
            <w:tabs>
              <w:tab w:val="right" w:leader="dot" w:pos="8640"/>
            </w:tabs>
            <w:spacing w:after="40" w:line="276" w:lineRule="auto"/>
            <w:ind w:left="480"/>
          </w:pPr>
          <w:r>
            <w:t xml:space="preserve">3.5.2 Outdoor Durability and Reliability Testing</w:t>
          </w:r>
          <w:r>
            <w:tab/>
          </w:r>
          <w:r>
            <w:t>34</w:t>
          </w:r>
        </w:p>
        <w:p>
          <w:pPr>
            <w:tabs>
              <w:tab w:val="right" w:leader="dot" w:pos="8640"/>
            </w:tabs>
            <w:spacing w:after="40" w:line="276" w:lineRule="auto"/>
            <w:ind w:left="480"/>
          </w:pPr>
          <w:r>
            <w:t xml:space="preserve">3.5.3 Testing Phases</w:t>
          </w:r>
          <w:r>
            <w:tab/>
          </w:r>
          <w:r>
            <w:t>35</w:t>
          </w:r>
        </w:p>
        <w:p>
          <w:pPr>
            <w:tabs>
              <w:tab w:val="right" w:leader="dot" w:pos="8640"/>
            </w:tabs>
            <w:spacing w:after="40" w:line="276" w:lineRule="auto"/>
            <w:ind w:left="480"/>
          </w:pPr>
          <w:r>
            <w:t xml:space="preserve">3.5.4 Respondents</w:t>
          </w:r>
          <w:r>
            <w:tab/>
          </w:r>
          <w:r>
            <w:t>35</w:t>
          </w:r>
        </w:p>
        <w:p>
          <w:pPr>
            <w:tabs>
              <w:tab w:val="right" w:leader="dot" w:pos="8640"/>
            </w:tabs>
            <w:spacing w:after="40" w:line="276" w:lineRule="auto"/>
            <w:ind w:left="480"/>
          </w:pPr>
          <w:r>
            <w:t xml:space="preserve">3.5.5 Technical System Evaluation (ISO/IEC 25010)</w:t>
          </w:r>
          <w:r>
            <w:tab/>
          </w:r>
          <w:r>
            <w:t>35</w:t>
          </w:r>
        </w:p>
        <w:p>
          <w:pPr>
            <w:tabs>
              <w:tab w:val="right" w:leader="dot" w:pos="8640"/>
            </w:tabs>
            <w:spacing w:after="40" w:line="276" w:lineRule="auto"/>
            <w:ind w:left="480"/>
          </w:pPr>
          <w:r>
            <w:t xml:space="preserve">3.5.6 Usability Evaluation (System Usability Scale)</w:t>
          </w:r>
          <w:r>
            <w:tab/>
          </w:r>
          <w:r>
            <w:t>36</w:t>
          </w:r>
        </w:p>
        <w:p>
          <w:pPr>
            <w:tabs>
              <w:tab w:val="right" w:leader="dot" w:pos="8640"/>
            </w:tabs>
            <w:spacing w:after="40" w:line="276" w:lineRule="auto"/>
            <w:ind w:left="480"/>
          </w:pPr>
          <w:r>
            <w:t xml:space="preserve">3.5.7 Performance Testing</w:t>
          </w:r>
          <w:r>
            <w:tab/>
          </w:r>
          <w:r>
            <w:t>37</w:t>
          </w:r>
        </w:p>
        <w:p>
          <w:pPr>
            <w:tabs>
              <w:tab w:val="right" w:leader="dot" w:pos="8640"/>
            </w:tabs>
            <w:spacing w:after="40" w:line="276" w:lineRule="auto"/>
            <w:ind w:left="480"/>
          </w:pPr>
          <w:r>
            <w:t xml:space="preserve">3.5.8 Functionality Testing</w:t>
          </w:r>
          <w:r>
            <w:tab/>
          </w:r>
          <w:r>
            <w:t>38</w:t>
          </w:r>
        </w:p>
        <w:p>
          <w:pPr>
            <w:tabs>
              <w:tab w:val="right" w:leader="dot" w:pos="8640"/>
            </w:tabs>
            <w:spacing w:after="40" w:line="276" w:lineRule="auto"/>
            <w:ind w:left="240"/>
          </w:pPr>
          <w:r>
            <w:t xml:space="preserve">3.6 Costing</w:t>
          </w:r>
          <w:r>
            <w:tab/>
          </w:r>
          <w:r>
            <w:t>38</w:t>
          </w:r>
        </w:p>
        <w:p>
          <w:pPr>
            <w:tabs>
              <w:tab w:val="right" w:leader="dot" w:pos="8640"/>
            </w:tabs>
            <w:spacing w:after="40" w:line="276" w:lineRule="auto"/>
            <w:ind w:left="240"/>
          </w:pPr>
          <w:r>
            <w:t xml:space="preserve">3.7 Gantt Chart</w:t>
          </w:r>
          <w:r>
            <w:tab/>
          </w:r>
          <w:r>
            <w:t>40</w:t>
          </w:r>
        </w:p>
        <w:p>
          <w:pPr>
            <w:tabs>
              <w:tab w:val="right" w:leader="dot" w:pos="8640"/>
            </w:tabs>
            <w:spacing w:after="40" w:line="276" w:lineRule="auto"/>
            <w:ind w:left="0"/>
          </w:pPr>
          <w:r>
            <w:t xml:space="preserve">REFERENCES</w:t>
          </w:r>
          <w:r>
            <w:tab/>
          </w:r>
          <w:r>
            <w:t>41</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16</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Settings and Team Admin</w:t>
          </w:r>
          <w:r>
            <w:tab/>
          </w:r>
          <w:r>
            <w:t>29</w:t>
          </w:r>
        </w:p>
        <w:p>
          <w:pPr>
            <w:tabs>
              <w:tab w:val="right" w:leader="dot" w:pos="8640"/>
            </w:tabs>
            <w:spacing w:after="40" w:line="276" w:lineRule="auto"/>
            <w:ind w:left="0"/>
          </w:pPr>
          <w:r>
            <w:t xml:space="preserve">Figure 14. Station Settings</w:t>
          </w:r>
          <w:r>
            <w:tab/>
          </w:r>
          <w:r>
            <w:t>29</w:t>
          </w:r>
        </w:p>
        <w:p>
          <w:pPr>
            <w:tabs>
              <w:tab w:val="right" w:leader="dot" w:pos="8640"/>
            </w:tabs>
            <w:spacing w:after="40" w:line="276" w:lineRule="auto"/>
            <w:ind w:left="0"/>
          </w:pPr>
          <w:r>
            <w:t xml:space="preserve">Figure 15. New Station Added</w:t>
          </w:r>
          <w:r>
            <w:tab/>
          </w:r>
          <w:r>
            <w:t>29</w:t>
          </w:r>
        </w:p>
        <w:p>
          <w:pPr>
            <w:tabs>
              <w:tab w:val="right" w:leader="dot" w:pos="8640"/>
            </w:tabs>
            <w:spacing w:after="40" w:line="276" w:lineRule="auto"/>
            <w:ind w:left="0"/>
          </w:pPr>
          <w:r>
            <w:t xml:space="preserve">Figure 16. Gantt Chart of Project Activities</w:t>
          </w:r>
          <w:r>
            <w:tab/>
          </w:r>
          <w:r>
            <w:t>40</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30</w:t>
          </w:r>
        </w:p>
        <w:p>
          <w:pPr>
            <w:tabs>
              <w:tab w:val="right" w:leader="dot" w:pos="8640"/>
            </w:tabs>
            <w:spacing w:after="40" w:line="276" w:lineRule="auto"/>
            <w:ind w:left="0"/>
          </w:pPr>
          <w:r>
            <w:t xml:space="preserve">Table 6. Software Requirements</w:t>
          </w:r>
          <w:r>
            <w:tab/>
          </w:r>
          <w:r>
            <w:t>31</w:t>
          </w:r>
        </w:p>
        <w:p>
          <w:pPr>
            <w:tabs>
              <w:tab w:val="right" w:leader="dot" w:pos="8640"/>
            </w:tabs>
            <w:spacing w:after="40" w:line="276" w:lineRule="auto"/>
            <w:ind w:left="0"/>
          </w:pPr>
          <w:r>
            <w:t xml:space="preserve">Table 7. Testing and Deployment Schedule</w:t>
          </w:r>
          <w:r>
            <w:tab/>
          </w:r>
          <w:r>
            <w:t>33</w:t>
          </w:r>
        </w:p>
        <w:p>
          <w:pPr>
            <w:tabs>
              <w:tab w:val="right" w:leader="dot" w:pos="8640"/>
            </w:tabs>
            <w:spacing w:after="40" w:line="276" w:lineRule="auto"/>
            <w:ind w:left="0"/>
          </w:pPr>
          <w:r>
            <w:t xml:space="preserve">Table 8. Comparison of Candidate Air Quality Sensors</w:t>
          </w:r>
          <w:r>
            <w:tab/>
          </w:r>
          <w:r>
            <w:t>33</w:t>
          </w:r>
        </w:p>
        <w:p>
          <w:pPr>
            <w:tabs>
              <w:tab w:val="right" w:leader="dot" w:pos="8640"/>
            </w:tabs>
            <w:spacing w:after="40" w:line="276" w:lineRule="auto"/>
            <w:ind w:left="0"/>
          </w:pPr>
          <w:r>
            <w:t xml:space="preserve">Table 9. Durability and Reliability Tests</w:t>
          </w:r>
          <w:r>
            <w:tab/>
          </w:r>
          <w:r>
            <w:t>34</w:t>
          </w:r>
        </w:p>
        <w:p>
          <w:pPr>
            <w:tabs>
              <w:tab w:val="right" w:leader="dot" w:pos="8640"/>
            </w:tabs>
            <w:spacing w:after="40" w:line="276" w:lineRule="auto"/>
            <w:ind w:left="0"/>
          </w:pPr>
          <w:r>
            <w:t xml:space="preserve">Table 10. ISO/IEC 25010 Technical Evaluation Instrument</w:t>
          </w:r>
          <w:r>
            <w:tab/>
          </w:r>
          <w:r>
            <w:t>36</w:t>
          </w:r>
        </w:p>
        <w:p>
          <w:pPr>
            <w:tabs>
              <w:tab w:val="right" w:leader="dot" w:pos="8640"/>
            </w:tabs>
            <w:spacing w:after="40" w:line="276" w:lineRule="auto"/>
            <w:ind w:left="0"/>
          </w:pPr>
          <w:r>
            <w:t xml:space="preserve">Table 11. System Usability Scale (SUS) Questionnaire</w:t>
          </w:r>
          <w:r>
            <w:tab/>
          </w:r>
          <w:r>
            <w:t>36</w:t>
          </w:r>
        </w:p>
        <w:p>
          <w:pPr>
            <w:tabs>
              <w:tab w:val="right" w:leader="dot" w:pos="8640"/>
            </w:tabs>
            <w:spacing w:after="40" w:line="276" w:lineRule="auto"/>
            <w:ind w:left="0"/>
          </w:pPr>
          <w:r>
            <w:t xml:space="preserve">Table 12. Performance Testing for GINHAWA System Components</w:t>
          </w:r>
          <w:r>
            <w:tab/>
          </w:r>
          <w:r>
            <w:t>37</w:t>
          </w:r>
        </w:p>
        <w:p>
          <w:pPr>
            <w:tabs>
              <w:tab w:val="right" w:leader="dot" w:pos="8640"/>
            </w:tabs>
            <w:spacing w:after="40" w:line="276" w:lineRule="auto"/>
            <w:ind w:left="0"/>
          </w:pPr>
          <w:r>
            <w:t xml:space="preserve">Table 13. Functionality Testing for the GINHAWA Monitoring Platform</w:t>
          </w:r>
          <w:r>
            <w:tab/>
          </w:r>
          <w:r>
            <w:t>38</w:t>
          </w:r>
        </w:p>
        <w:p>
          <w:pPr>
            <w:tabs>
              <w:tab w:val="right" w:leader="dot" w:pos="8640"/>
            </w:tabs>
            <w:spacing w:after="40" w:line="276" w:lineRule="auto"/>
            <w:ind w:left="0"/>
          </w:pPr>
          <w:r>
            <w:t xml:space="preserve">Table 14. Estimated Cost of One Monitoring Station</w:t>
          </w:r>
          <w:r>
            <w:tab/>
          </w:r>
          <w:r>
            <w:t>38</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without creating an account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lets a new station add itself the first time it is switched on (it presents its hardware ID and a team secret built into the firmware and receives its own key, then is named after the barangay at its GPS position), authenticates each station by that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The application needs no account: anyone can open it and see every station. The monitoring personnel sign in with a shared team passcode to rename stations, set alert thresholds, acknowledge alerts, and remove stations.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stations, readings, alerts, and blocked devices.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134329"/>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4134329"/>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STATIONS</w:t>
      </w:r>
      <w:r>
        <w:t xml:space="preserve"> stores each monitoring station: the hardware ID of its ESP32 (recorded when the station adds itself), its name (location, e.g., Barangay Carmen) and landmark, whether the name still follows its GPS position, the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Each station records many readings and raises many alerts. </w:t>
      </w:r>
      <w:r>
        <w:rPr>
          <w:b/>
          <w:bCs/>
        </w:rPr>
        <w:t xml:space="preserve">BLOCKED_DEVICES</w:t>
      </w:r>
      <w:r>
        <w:t xml:space="preserve"> lists the hardware IDs of removed stations that may not add themselves again, such as lost or stolen devices. The database stores no user accounts, because viewing is public and the monitoring personnel sign in with a shared team passcode.</w:t>
      </w:r>
    </w:p>
    <w:p>
      <w:pPr>
        <w:pStyle w:val="Heading3"/>
        <w:keepNext/>
        <w:spacing w:after="120" w:before="200"/>
      </w:pPr>
      <w:r>
        <w:t xml:space="preserve">3.2.4 Use Case Diagram</w:t>
      </w:r>
    </w:p>
    <w:p>
      <w:pPr>
        <w:keepNext/>
        <w:spacing w:after="60" w:before="120"/>
        <w:jc w:val="center"/>
      </w:pPr>
      <w:r>
        <w:drawing>
          <wp:inline distT="0" distB="0" distL="0" distR="0">
            <wp:extent cx="4754880" cy="5235918"/>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5235918"/>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need no account: they open the application and can view the real-time AQI dashboard, the station map, and station details and history, receive air quality alerts, and export data. The </w:t>
      </w:r>
      <w:r>
        <w:rPr>
          <w:b/>
          <w:bCs/>
        </w:rPr>
        <w:t xml:space="preserve">Monitoring Personnel (Administrator)</w:t>
      </w:r>
      <w:r>
        <w:t xml:space="preserve"> inherits all general-user use cases and, after signing in with the team passcode, renames stations and edits their landmarks, sets alert thresholds, acknowledges alerts, removes or blocks stations, monitors device status (online/offline, battery, and connectivity), and receives device error notifications. Adding a station is not a use case of any actor: a station adds itself when it is switched on.</w:t>
      </w:r>
    </w:p>
    <w:p>
      <w:pPr>
        <w:pStyle w:val="Heading3"/>
        <w:keepNext/>
        <w:spacing w:after="120" w:before="200"/>
      </w:pPr>
      <w:r>
        <w:t xml:space="preserve">3.2.5 Context Diagram</w:t>
      </w:r>
    </w:p>
    <w:p>
      <w:pPr>
        <w:keepNext/>
        <w:spacing w:after="60" w:before="120"/>
        <w:jc w:val="center"/>
      </w:pPr>
      <w:r>
        <w:drawing>
          <wp:inline distT="0" distB="0" distL="0" distR="0">
            <wp:extent cx="5303520" cy="3792277"/>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3520" cy="3792277"/>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its hardware ID and the team secret when it is first switched on, then its sensor readings, GPS location, and battery status, and receives its device key and the current AQI level for its status LED. The </w:t>
      </w:r>
      <w:r>
        <w:rPr>
          <w:b/>
          <w:bCs/>
        </w:rPr>
        <w:t xml:space="preserve">General User</w:t>
      </w:r>
      <w:r>
        <w:t xml:space="preserve">, who needs no account, sends view and export requests and receives real-time AQI, the station map and details, alerts, and CSV data. The </w:t>
      </w:r>
      <w:r>
        <w:rPr>
          <w:b/>
          <w:bCs/>
        </w:rPr>
        <w:t xml:space="preserve">Administrator</w:t>
      </w:r>
      <w:r>
        <w:t xml:space="preserve"> sends the team passcode, station names, thresholds, alert acknowledgements, and remove or block requests, and receives device status, error notifications,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617787"/>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4617787"/>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Blocked Devices, D2 Stations, D3 Readings, D4 Alerts). </w:t>
      </w:r>
      <w:r>
        <w:rPr>
          <w:b/>
          <w:bCs/>
        </w:rPr>
        <w:t xml:space="preserve">Process 1.0 Register Station</w:t>
      </w:r>
      <w:r>
        <w:t xml:space="preserve"> receives the hardware ID and team secret of a station that is switched on for the first time, checks that the device is not in D1, creates the station in D2, and returns the station's own device key. </w:t>
      </w:r>
      <w:r>
        <w:rPr>
          <w:b/>
          <w:bCs/>
        </w:rPr>
        <w:t xml:space="preserve">Process 2.0 Manage Stations</w:t>
      </w:r>
      <w:r>
        <w:t xml:space="preserve"> lets the administrator, signed in with the team passcode, rename stations and change thresholds in D2, and remove stations or add their devices to D1. </w:t>
      </w:r>
      <w:r>
        <w:rPr>
          <w:b/>
          <w:bCs/>
        </w:rPr>
        <w:t xml:space="preserve">Process 3.0 Receive and Validate Readings</w:t>
      </w:r>
      <w:r>
        <w:t xml:space="preserve"> checks the device key against D2, validates the readings, updates the station's location, GPS-based name,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requires no code, server configuration, or setup in the application. Every station is flashed with the same firmware, which contains the team secret. When a new station is switched on, it sends its ESP32 hardware ID and the team secret to the server, which creates the station and returns a unique key that the station keeps in its memory. Once the GPS has a fix, the server names the station after the barangay at that position using OpenStreetMap reverse geocoding (for example, Barangay Carmen), and two stations in the same barangay are numbered. The station then appears automatically on the map and station list for all users, and if it is moved, its location and name follow. The team can still rename a station, which keeps the typed name, and can remove a station or block a lost or stolen device so that it cannot add itself again.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15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4.png" descr="/var/tmp/gbuild/img/ui4.png" title="/var/tmp/gbuild/img/ui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13. Settings and Team Admin</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5.png" descr="/var/tmp/gbuild/img/ui5.png" title="/var/tmp/gbuild/img/ui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14. Station Settings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6.png" descr="/var/tmp/gbuild/img/ui6.png" title="/var/tmp/gbuild/img/ui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15. New Station Added</w:t>
            </w:r>
          </w:p>
        </w:tc>
      </w:tr>
    </w:tbl>
    <w:p>
      <w:pPr>
        <w:spacing w:after="160" w:line="360"/>
        <w:ind w:firstLine="720"/>
        <w:jc w:val="both"/>
      </w:pPr>
      <w:r>
        <w:t xml:space="preserve">The application opens directly to the </w:t>
      </w:r>
      <w:r>
        <w:rPr>
          <w:b/>
          <w:bCs/>
        </w:rPr>
        <w:t xml:space="preserve">Stations Dashboard</w:t>
      </w:r>
      <w:r>
        <w:t xml:space="preserve"> (Figure 10), without any sign-in. It summarizes the worst air quality right now, the number of stations online, and active alerts, followed by a searchable, sortable list of stations tinted by their AQI level; a station that has just added itself and not reported yet is marked "Just added" instead of showing empty values. The </w:t>
      </w:r>
      <w:r>
        <w:rPr>
          <w:b/>
          <w:bCs/>
        </w:rPr>
        <w:t xml:space="preserve">Station Details</w:t>
      </w:r>
      <w:r>
        <w:t xml:space="preserve"> screen (Figure 11) shows the station's current AQI, main pollutant, temperature, humidity, the AQI color scale,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health recommendations, the last 12 hours of hourly AQI,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w:t>
      </w:r>
    </w:p>
    <w:p>
      <w:pPr>
        <w:spacing w:after="160" w:line="360"/>
        <w:ind w:firstLine="720"/>
        <w:jc w:val="both"/>
      </w:pPr>
      <w:r>
        <w:t xml:space="preserve">The </w:t>
      </w:r>
      <w:r>
        <w:rPr>
          <w:b/>
          <w:bCs/>
        </w:rPr>
        <w:t xml:space="preserve">Settings</w:t>
      </w:r>
      <w:r>
        <w:t xml:space="preserve"> screen (Figure 13) holds the appearance options (light, dark, or system theme) and the </w:t>
      </w:r>
      <w:r>
        <w:rPr>
          <w:b/>
          <w:bCs/>
        </w:rPr>
        <w:t xml:space="preserve">Team admin</w:t>
      </w:r>
      <w:r>
        <w:t xml:space="preserve"> sign-in, where the monitoring personnel enter the shared team passcode. Once signed in, each station shows a settings button and alerts show an Acknowledge button. </w:t>
      </w:r>
      <w:r>
        <w:rPr>
          <w:b/>
          <w:bCs/>
        </w:rPr>
        <w:t xml:space="preserve">Station Settings</w:t>
      </w:r>
      <w:r>
        <w:t xml:space="preserve"> (Figure 14) edits the station's name and landmark, turns naming from its GPS position on or off, sets its alert thresholds for PM2.5, VOC, and NOx, and removes the station or removes it and blocks its device. Figure 15 shows a </w:t>
      </w:r>
      <w:r>
        <w:rPr>
          <w:b/>
          <w:bCs/>
        </w:rPr>
        <w:t xml:space="preserve">new station</w:t>
      </w:r>
      <w:r>
        <w:t xml:space="preserve"> that has just added itself after being switched on, while it waits for its first reading. On computers, the application keeps the same phone layout in a centered column, so it looks the same on every device.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OpenStreetMap Nominatim</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Team admin sign-in token; naming stations after their barangay from GPS position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Flash the firmware with the team secret, server address, and Wi-Fi credentials; the station adds itself to the application when it is first switched on.</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the team, signed in with the passcode, can change or remove stations; only devices with the team secret can add a station, and each station then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Open the application and view all stations without an account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Team admin sign-in with the passcode; management controls hidden from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air quality alerts; acknowledge alerts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 new station adds itself when switched on and is named from its GPS position; rename, remove, and block stations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pStyle w:val="Heading2"/>
        <w:keepNext/>
        <w:spacing w:after="120" w:before="240"/>
      </w:pPr>
      <w:r>
        <w:t xml:space="preserve">3.7 Gantt Chart</w:t>
      </w:r>
    </w:p>
    <w:p>
      <w:pPr>
        <w:keepNext/>
        <w:spacing w:after="60" w:before="120"/>
        <w:jc w:val="center"/>
      </w:pPr>
      <w:r>
        <w:drawing>
          <wp:inline distT="0" distB="0" distL="0" distR="0">
            <wp:extent cx="5486400" cy="3957138"/>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957138"/>
                    </a:xfrm>
                    <a:prstGeom prst="rect">
                      <a:avLst/>
                    </a:prstGeom>
                  </pic:spPr>
                </pic:pic>
              </a:graphicData>
            </a:graphic>
          </wp:inline>
        </w:drawing>
      </w:r>
    </w:p>
    <w:p>
      <w:pPr>
        <w:pStyle w:val="FigureCaption"/>
        <w:spacing w:after="240" w:before="60"/>
        <w:jc w:val="center"/>
      </w:pPr>
      <w:r>
        <w:t xml:space="preserve">Figure 16. Gantt Chart of Project Activities</w:t>
      </w:r>
    </w:p>
    <w:p>
      <w:pPr>
        <w:spacing w:after="160" w:line="360"/>
        <w:ind w:firstLine="720"/>
        <w:jc w:val="both"/>
      </w:pPr>
      <w:r>
        <w:t xml:space="preserve">Figure 16 shows the schedule of project activities from requirements gathering in February 2026 to the final defense in November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9"/>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23c54af748edcc2654169266647557cedfd26fa.jpg"/><Relationship Id="rId11" Type="http://schemas.openxmlformats.org/officeDocument/2006/relationships/image" Target="media/179ddc070c327b7bdafe34169e7e60ef461644f8.png"/><Relationship Id="rId12" Type="http://schemas.openxmlformats.org/officeDocument/2006/relationships/image" Target="media/f10cf5aa437efdc19cc139e281bf49de36b633bc.png"/><Relationship Id="rId13" Type="http://schemas.openxmlformats.org/officeDocument/2006/relationships/image" Target="media/ee951b9843c44ce15361e038e9199f0062b1df98.png"/><Relationship Id="rId14" Type="http://schemas.openxmlformats.org/officeDocument/2006/relationships/image" Target="media/d4d4859e4d5808df29ceb59ca31e30ddc893646d.png"/><Relationship Id="rId15" Type="http://schemas.openxmlformats.org/officeDocument/2006/relationships/image" Target="media/44a0a81de1a7cb48a6d14cfd544b3280421023f6.png"/><Relationship Id="rId16" Type="http://schemas.openxmlformats.org/officeDocument/2006/relationships/image" Target="media/0a9c43b7bebc1bd13506149526329fec507f6a53.png"/><Relationship Id="rId17" Type="http://schemas.openxmlformats.org/officeDocument/2006/relationships/image" Target="media/c69844bb7a3e95f9f46dbbaa03508a20d0b5e562.png"/><Relationship Id="rId18" Type="http://schemas.openxmlformats.org/officeDocument/2006/relationships/image" Target="media/f82d061b276d071f000b3b4ce6e35725206ee910.png"/><Relationship Id="rId19" Type="http://schemas.openxmlformats.org/officeDocument/2006/relationships/image" Target="media/d42198675409699f43b61848065a416c42bfdda4.png"/><Relationship Id="rId20" Type="http://schemas.openxmlformats.org/officeDocument/2006/relationships/image" Target="media/b15b7df1b26ebe0cbe0066c5ab6fc39e3d832c7e.png"/><Relationship Id="rId21" Type="http://schemas.openxmlformats.org/officeDocument/2006/relationships/image" Target="media/814ba475841c048668aa70a0707364965a13eb6b.png"/><Relationship Id="rId22" Type="http://schemas.openxmlformats.org/officeDocument/2006/relationships/image" Target="media/b1a2c5bbde57f8124c24a3ff65604c55123c3dc7.png"/><Relationship Id="rId23" Type="http://schemas.openxmlformats.org/officeDocument/2006/relationships/image" Target="media/2c34b847a5a76f92c707a32ce91d46ef693635dc.png"/><Relationship Id="rId24" Type="http://schemas.openxmlformats.org/officeDocument/2006/relationships/image" Target="media/3b546a3667b3bbb09f779bd052d0c23a8eab48e9.png"/><Relationship Id="rId25" Type="http://schemas.openxmlformats.org/officeDocument/2006/relationships/image" Target="media/aab7b72bd3d3389d05bd3357ae53ebf16603c634.png"/><Relationship Id="rId26" Type="http://schemas.openxmlformats.org/officeDocument/2006/relationships/image" Target="media/feaf8f64662cae6542ce89dd184c1bab13805fa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2026-10-02T13:46:43.608Z</dcterms:created>
  <dcterms:modified xsi:type="dcterms:W3CDTF">2026-10-02T13:46:43.612Z</dcterms:modified>
</cp:coreProperties>
</file>

<file path=docProps/custom.xml><?xml version="1.0" encoding="utf-8"?>
<Properties xmlns="http://schemas.openxmlformats.org/officeDocument/2006/custom-properties" xmlns:vt="http://schemas.openxmlformats.org/officeDocument/2006/docPropsVTypes"/>
</file>