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6F32" w14:textId="6B186A28" w:rsidR="00AE611F" w:rsidRDefault="00E9227A" w:rsidP="00FA2300">
      <w:pPr>
        <w:jc w:val="center"/>
        <w:rPr>
          <w:rFonts w:ascii="Times New Roman" w:eastAsia="宋体" w:hAnsi="Times New Roman" w:cs="Times New Roman"/>
          <w:w w:val="92"/>
        </w:rPr>
      </w:pPr>
      <w:r w:rsidRPr="001D4257">
        <w:rPr>
          <w:rFonts w:ascii="Times New Roman" w:eastAsia="宋体" w:hAnsi="Times New Roman" w:cs="Times New Roman"/>
          <w:w w:val="92"/>
        </w:rPr>
        <w:t>Data Type Description</w:t>
      </w:r>
    </w:p>
    <w:tbl>
      <w:tblPr>
        <w:tblpPr w:leftFromText="180" w:rightFromText="180" w:vertAnchor="text" w:tblpXSpec="center" w:tblpY="1"/>
        <w:tblOverlap w:val="never"/>
        <w:tblW w:w="8931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34"/>
        <w:gridCol w:w="2005"/>
        <w:gridCol w:w="971"/>
        <w:gridCol w:w="1560"/>
        <w:gridCol w:w="2268"/>
      </w:tblGrid>
      <w:tr w:rsidR="00E9227A" w:rsidRPr="00C667B1" w14:paraId="2916CD37" w14:textId="77777777" w:rsidTr="00C56F06">
        <w:trPr>
          <w:trHeight w:val="266"/>
        </w:trPr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3B80BE9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spacing w:val="0"/>
                <w:w w:val="92"/>
                <w:sz w:val="13"/>
                <w:szCs w:val="13"/>
              </w:rPr>
              <w:t>D</w:t>
            </w:r>
            <w:r w:rsidRPr="00C667B1">
              <w:rPr>
                <w:rFonts w:ascii="Times New Roman" w:eastAsia="宋体" w:hAnsi="Times New Roman" w:cs="Times New Roman"/>
                <w:spacing w:val="0"/>
                <w:w w:val="92"/>
                <w:sz w:val="13"/>
                <w:szCs w:val="13"/>
              </w:rPr>
              <w:t>imension</w:t>
            </w:r>
          </w:p>
        </w:tc>
        <w:tc>
          <w:tcPr>
            <w:tcW w:w="1276" w:type="dxa"/>
            <w:gridSpan w:val="2"/>
            <w:tcBorders>
              <w:bottom w:val="single" w:sz="6" w:space="0" w:color="auto"/>
            </w:tcBorders>
            <w:vAlign w:val="center"/>
          </w:tcPr>
          <w:p w14:paraId="551C0B6E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V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ariable  </w:t>
            </w:r>
          </w:p>
        </w:tc>
        <w:tc>
          <w:tcPr>
            <w:tcW w:w="2005" w:type="dxa"/>
            <w:tcBorders>
              <w:bottom w:val="single" w:sz="6" w:space="0" w:color="auto"/>
            </w:tcBorders>
            <w:vAlign w:val="center"/>
          </w:tcPr>
          <w:p w14:paraId="2FEF68B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D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escription</w:t>
            </w:r>
          </w:p>
        </w:tc>
        <w:tc>
          <w:tcPr>
            <w:tcW w:w="971" w:type="dxa"/>
            <w:tcBorders>
              <w:bottom w:val="single" w:sz="6" w:space="0" w:color="auto"/>
            </w:tcBorders>
            <w:vAlign w:val="center"/>
          </w:tcPr>
          <w:p w14:paraId="0E91ABB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spacing w:val="0"/>
                <w:w w:val="92"/>
                <w:sz w:val="13"/>
                <w:szCs w:val="13"/>
              </w:rPr>
              <w:t>D</w:t>
            </w:r>
            <w:r w:rsidRPr="00C667B1">
              <w:rPr>
                <w:rFonts w:ascii="Times New Roman" w:eastAsia="宋体" w:hAnsi="Times New Roman" w:cs="Times New Roman"/>
                <w:spacing w:val="0"/>
                <w:w w:val="92"/>
                <w:sz w:val="13"/>
                <w:szCs w:val="13"/>
              </w:rPr>
              <w:t>imension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vAlign w:val="center"/>
          </w:tcPr>
          <w:p w14:paraId="057681C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V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ariable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vAlign w:val="center"/>
          </w:tcPr>
          <w:p w14:paraId="2E5C618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D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escription</w:t>
            </w:r>
          </w:p>
        </w:tc>
      </w:tr>
      <w:tr w:rsidR="00E9227A" w:rsidRPr="00C667B1" w14:paraId="647451BD" w14:textId="77777777" w:rsidTr="00C56F06">
        <w:trPr>
          <w:trHeight w:val="266"/>
        </w:trPr>
        <w:tc>
          <w:tcPr>
            <w:tcW w:w="993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14:paraId="6ACB87E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bookmarkStart w:id="0" w:name="_Hlk99483063"/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1D29895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monthly sales</w:t>
            </w:r>
          </w:p>
        </w:tc>
        <w:tc>
          <w:tcPr>
            <w:tcW w:w="2005" w:type="dxa"/>
            <w:tcBorders>
              <w:top w:val="single" w:sz="6" w:space="0" w:color="auto"/>
            </w:tcBorders>
            <w:vAlign w:val="center"/>
          </w:tcPr>
          <w:p w14:paraId="5D8712D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 w:val="restart"/>
            <w:tcBorders>
              <w:top w:val="single" w:sz="6" w:space="0" w:color="auto"/>
            </w:tcBorders>
            <w:vAlign w:val="center"/>
          </w:tcPr>
          <w:p w14:paraId="21EAB772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social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vAlign w:val="center"/>
          </w:tcPr>
          <w:p w14:paraId="448C5520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CPI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14:paraId="56AA75C1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40309059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5D70BDB0" w14:textId="77777777" w:rsidR="00E9227A" w:rsidRPr="00C667B1" w:rsidRDefault="00E9227A" w:rsidP="00C56F06">
            <w:pPr>
              <w:pStyle w:val="f"/>
              <w:spacing w:line="240" w:lineRule="auto"/>
              <w:ind w:firstLine="238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4929F6B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manufacturer</w:t>
            </w:r>
          </w:p>
        </w:tc>
        <w:tc>
          <w:tcPr>
            <w:tcW w:w="2005" w:type="dxa"/>
            <w:vAlign w:val="center"/>
          </w:tcPr>
          <w:p w14:paraId="69EA5B9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5EC78D09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287A776D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PPI</w:t>
            </w:r>
          </w:p>
        </w:tc>
        <w:tc>
          <w:tcPr>
            <w:tcW w:w="2268" w:type="dxa"/>
            <w:vAlign w:val="center"/>
          </w:tcPr>
          <w:p w14:paraId="7D444C50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3EEF5A23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221E86C4" w14:textId="77777777" w:rsidR="00E9227A" w:rsidRPr="00C667B1" w:rsidRDefault="00E9227A" w:rsidP="00C56F06">
            <w:pPr>
              <w:pStyle w:val="f"/>
              <w:spacing w:line="240" w:lineRule="auto"/>
              <w:ind w:firstLine="238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bookmarkStart w:id="1" w:name="_Hlk99483274"/>
            <w:bookmarkEnd w:id="0"/>
          </w:p>
        </w:tc>
        <w:tc>
          <w:tcPr>
            <w:tcW w:w="1134" w:type="dxa"/>
            <w:vAlign w:val="center"/>
          </w:tcPr>
          <w:p w14:paraId="0824DE4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price</w:t>
            </w:r>
          </w:p>
        </w:tc>
        <w:tc>
          <w:tcPr>
            <w:tcW w:w="2005" w:type="dxa"/>
            <w:vAlign w:val="center"/>
          </w:tcPr>
          <w:p w14:paraId="097011C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2B67AE4E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4396AF1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GDP</w:t>
            </w:r>
          </w:p>
        </w:tc>
        <w:tc>
          <w:tcPr>
            <w:tcW w:w="2268" w:type="dxa"/>
            <w:vAlign w:val="center"/>
          </w:tcPr>
          <w:p w14:paraId="06C7ED82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bookmarkEnd w:id="1"/>
      <w:tr w:rsidR="00E9227A" w:rsidRPr="00C667B1" w14:paraId="30629DA0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7F61B63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62997E4E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vehicle parameters</w:t>
            </w:r>
          </w:p>
        </w:tc>
        <w:tc>
          <w:tcPr>
            <w:tcW w:w="2005" w:type="dxa"/>
            <w:vAlign w:val="center"/>
          </w:tcPr>
          <w:p w14:paraId="358F5412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5699194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4A6C3B85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PMI</w:t>
            </w:r>
          </w:p>
        </w:tc>
        <w:tc>
          <w:tcPr>
            <w:tcW w:w="2268" w:type="dxa"/>
            <w:vAlign w:val="center"/>
          </w:tcPr>
          <w:p w14:paraId="35343F06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78DFEDA5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5245D1C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5B8E74AC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total power</w:t>
            </w:r>
          </w:p>
        </w:tc>
        <w:tc>
          <w:tcPr>
            <w:tcW w:w="2005" w:type="dxa"/>
            <w:vAlign w:val="center"/>
          </w:tcPr>
          <w:p w14:paraId="031EC41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4E55D63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4E07BB5F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urban fixed asset investment</w:t>
            </w:r>
          </w:p>
        </w:tc>
        <w:tc>
          <w:tcPr>
            <w:tcW w:w="2268" w:type="dxa"/>
            <w:vAlign w:val="center"/>
          </w:tcPr>
          <w:p w14:paraId="19AC0F9E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148B9225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41ACDD8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1FBC924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recharge mileage</w:t>
            </w:r>
          </w:p>
        </w:tc>
        <w:tc>
          <w:tcPr>
            <w:tcW w:w="2005" w:type="dxa"/>
            <w:vAlign w:val="center"/>
          </w:tcPr>
          <w:p w14:paraId="2044E478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0DFDA34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566E239A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business climate index</w:t>
            </w:r>
          </w:p>
        </w:tc>
        <w:tc>
          <w:tcPr>
            <w:tcW w:w="2268" w:type="dxa"/>
            <w:vAlign w:val="center"/>
          </w:tcPr>
          <w:p w14:paraId="5A589CFE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45F7A3DC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49724F1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414FE67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drive mode</w:t>
            </w:r>
          </w:p>
        </w:tc>
        <w:tc>
          <w:tcPr>
            <w:tcW w:w="2005" w:type="dxa"/>
            <w:vAlign w:val="center"/>
          </w:tcPr>
          <w:p w14:paraId="3148376C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0 for 2WD, 1 for 2WD/4WD, 2 for 4WD</w:t>
            </w:r>
          </w:p>
        </w:tc>
        <w:tc>
          <w:tcPr>
            <w:tcW w:w="971" w:type="dxa"/>
            <w:vMerge/>
            <w:vAlign w:val="center"/>
          </w:tcPr>
          <w:p w14:paraId="3A82F0D1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4C5D5FCF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industrial added value growth</w:t>
            </w:r>
          </w:p>
        </w:tc>
        <w:tc>
          <w:tcPr>
            <w:tcW w:w="2268" w:type="dxa"/>
            <w:vAlign w:val="center"/>
          </w:tcPr>
          <w:p w14:paraId="353178E4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5EF9A50D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48561161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28E583A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grade</w:t>
            </w:r>
          </w:p>
        </w:tc>
        <w:tc>
          <w:tcPr>
            <w:tcW w:w="2005" w:type="dxa"/>
            <w:vAlign w:val="center"/>
          </w:tcPr>
          <w:p w14:paraId="07F7F669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take 0 for mini cars, 1 for compact cars, 2 for medium cars, and 3 for medium and large cars</w:t>
            </w:r>
          </w:p>
        </w:tc>
        <w:tc>
          <w:tcPr>
            <w:tcW w:w="971" w:type="dxa"/>
            <w:vMerge/>
            <w:vAlign w:val="center"/>
          </w:tcPr>
          <w:p w14:paraId="4EB4C6B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0838AA56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corporate commodity price index</w:t>
            </w:r>
          </w:p>
        </w:tc>
        <w:tc>
          <w:tcPr>
            <w:tcW w:w="2268" w:type="dxa"/>
            <w:vAlign w:val="center"/>
          </w:tcPr>
          <w:p w14:paraId="00EB53C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320B8E3F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2A3DC09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1E11154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maximum torque</w:t>
            </w:r>
          </w:p>
        </w:tc>
        <w:tc>
          <w:tcPr>
            <w:tcW w:w="2005" w:type="dxa"/>
          </w:tcPr>
          <w:p w14:paraId="106A0AC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4F2C40C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6FBE970A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corporate commodity price index (minerals)</w:t>
            </w:r>
          </w:p>
        </w:tc>
        <w:tc>
          <w:tcPr>
            <w:tcW w:w="2268" w:type="dxa"/>
            <w:vAlign w:val="center"/>
          </w:tcPr>
          <w:p w14:paraId="7DB55F0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769F2FBE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005CE6B9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070C06E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electric motor</w:t>
            </w:r>
          </w:p>
        </w:tc>
        <w:tc>
          <w:tcPr>
            <w:tcW w:w="2005" w:type="dxa"/>
          </w:tcPr>
          <w:p w14:paraId="7371682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60B60DD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433D7560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corporate commodity price index (kerosene and electricity)</w:t>
            </w:r>
          </w:p>
        </w:tc>
        <w:tc>
          <w:tcPr>
            <w:tcW w:w="2268" w:type="dxa"/>
            <w:vAlign w:val="center"/>
          </w:tcPr>
          <w:p w14:paraId="27CCCB4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1DFA7BBD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53F77AC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582D9D0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length*width*height</w:t>
            </w:r>
          </w:p>
        </w:tc>
        <w:tc>
          <w:tcPr>
            <w:tcW w:w="2005" w:type="dxa"/>
          </w:tcPr>
          <w:p w14:paraId="68EDD7A1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07761D4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594DBB7A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the total retail sales of social consumer goods</w:t>
            </w:r>
          </w:p>
        </w:tc>
        <w:tc>
          <w:tcPr>
            <w:tcW w:w="2268" w:type="dxa"/>
            <w:vAlign w:val="center"/>
          </w:tcPr>
          <w:p w14:paraId="161E283D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7373A0F0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2D69B16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4AC717D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structure</w:t>
            </w:r>
          </w:p>
        </w:tc>
        <w:tc>
          <w:tcPr>
            <w:tcW w:w="2005" w:type="dxa"/>
          </w:tcPr>
          <w:p w14:paraId="52EAEDD2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19B2732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6DF834D2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currency supply</w:t>
            </w:r>
          </w:p>
        </w:tc>
        <w:tc>
          <w:tcPr>
            <w:tcW w:w="2268" w:type="dxa"/>
            <w:vAlign w:val="center"/>
          </w:tcPr>
          <w:p w14:paraId="660F4915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 xml:space="preserve">Oriental Fortune Network Data Center </w:t>
            </w: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：</w:t>
            </w: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M0</w:t>
            </w:r>
          </w:p>
        </w:tc>
      </w:tr>
      <w:tr w:rsidR="00E9227A" w:rsidRPr="00C667B1" w14:paraId="685C47D7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35F2101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226155B2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0-100 acceleration</w:t>
            </w:r>
          </w:p>
        </w:tc>
        <w:tc>
          <w:tcPr>
            <w:tcW w:w="2005" w:type="dxa"/>
          </w:tcPr>
          <w:p w14:paraId="0B215EB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1A3C40A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1489A8F4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customs import and export volume</w:t>
            </w:r>
          </w:p>
        </w:tc>
        <w:tc>
          <w:tcPr>
            <w:tcW w:w="2268" w:type="dxa"/>
            <w:vAlign w:val="center"/>
          </w:tcPr>
          <w:p w14:paraId="00236166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38A60FEA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373CEF61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37B83029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number of seats</w:t>
            </w:r>
          </w:p>
        </w:tc>
        <w:tc>
          <w:tcPr>
            <w:tcW w:w="2005" w:type="dxa"/>
          </w:tcPr>
          <w:p w14:paraId="301C5928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4A95193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54F529F9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foreign exchange reserves</w:t>
            </w:r>
          </w:p>
        </w:tc>
        <w:tc>
          <w:tcPr>
            <w:tcW w:w="2268" w:type="dxa"/>
            <w:vAlign w:val="center"/>
          </w:tcPr>
          <w:p w14:paraId="5C580AE0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36578D26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55BD43F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58E66C1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Front suspension type</w:t>
            </w:r>
          </w:p>
        </w:tc>
        <w:tc>
          <w:tcPr>
            <w:tcW w:w="2005" w:type="dxa"/>
            <w:vAlign w:val="center"/>
          </w:tcPr>
          <w:p w14:paraId="1ACEBCF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Independence is recorded as 1, non-independent is recorded as 0</w:t>
            </w:r>
          </w:p>
        </w:tc>
        <w:tc>
          <w:tcPr>
            <w:tcW w:w="971" w:type="dxa"/>
            <w:vMerge/>
          </w:tcPr>
          <w:p w14:paraId="083482E3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618DFD8E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gold reserve</w:t>
            </w:r>
          </w:p>
        </w:tc>
        <w:tc>
          <w:tcPr>
            <w:tcW w:w="2268" w:type="dxa"/>
            <w:vAlign w:val="center"/>
          </w:tcPr>
          <w:p w14:paraId="1F45082E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51445D0A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57CECCBC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339131A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rear suspension type</w:t>
            </w:r>
          </w:p>
        </w:tc>
        <w:tc>
          <w:tcPr>
            <w:tcW w:w="2005" w:type="dxa"/>
            <w:vAlign w:val="center"/>
          </w:tcPr>
          <w:p w14:paraId="642A6F9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Independence is recorded as 1, non-independent is recorded as 0</w:t>
            </w:r>
          </w:p>
        </w:tc>
        <w:tc>
          <w:tcPr>
            <w:tcW w:w="971" w:type="dxa"/>
            <w:vMerge/>
          </w:tcPr>
          <w:p w14:paraId="4B08D0B9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2C3C1842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foreign Direct Investment Index</w:t>
            </w:r>
          </w:p>
        </w:tc>
        <w:tc>
          <w:tcPr>
            <w:tcW w:w="2268" w:type="dxa"/>
            <w:vAlign w:val="center"/>
          </w:tcPr>
          <w:p w14:paraId="187B67A8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472B8D13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46B22DA3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3C8D9A5C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front brake type</w:t>
            </w:r>
          </w:p>
        </w:tc>
        <w:tc>
          <w:tcPr>
            <w:tcW w:w="2005" w:type="dxa"/>
            <w:vAlign w:val="center"/>
          </w:tcPr>
          <w:p w14:paraId="1F67949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63BC1E2C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42DE7C7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revenue</w:t>
            </w:r>
          </w:p>
        </w:tc>
        <w:tc>
          <w:tcPr>
            <w:tcW w:w="2268" w:type="dxa"/>
            <w:vAlign w:val="center"/>
          </w:tcPr>
          <w:p w14:paraId="6C59AC15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2721A88D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6CCFFE0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02510A2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rear brake type</w:t>
            </w:r>
          </w:p>
        </w:tc>
        <w:tc>
          <w:tcPr>
            <w:tcW w:w="2005" w:type="dxa"/>
          </w:tcPr>
          <w:p w14:paraId="79FED88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40C57788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728767B5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credit data</w:t>
            </w:r>
          </w:p>
        </w:tc>
        <w:tc>
          <w:tcPr>
            <w:tcW w:w="2268" w:type="dxa"/>
            <w:vAlign w:val="center"/>
          </w:tcPr>
          <w:p w14:paraId="4FA279A6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26DC8536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514BFB7E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6AFBFB8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front tire specification</w:t>
            </w:r>
          </w:p>
        </w:tc>
        <w:tc>
          <w:tcPr>
            <w:tcW w:w="2005" w:type="dxa"/>
          </w:tcPr>
          <w:p w14:paraId="5FEDFD7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4822266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6129467D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oil price</w:t>
            </w:r>
          </w:p>
        </w:tc>
        <w:tc>
          <w:tcPr>
            <w:tcW w:w="2268" w:type="dxa"/>
            <w:vAlign w:val="center"/>
          </w:tcPr>
          <w:p w14:paraId="07822545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7CCE06A0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74EF247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155787E9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rear tire specification</w:t>
            </w:r>
          </w:p>
        </w:tc>
        <w:tc>
          <w:tcPr>
            <w:tcW w:w="2005" w:type="dxa"/>
          </w:tcPr>
          <w:p w14:paraId="5A05A79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25FC5E8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5DC2F366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  <w:t>consumer information index</w:t>
            </w:r>
          </w:p>
        </w:tc>
        <w:tc>
          <w:tcPr>
            <w:tcW w:w="2268" w:type="dxa"/>
            <w:vAlign w:val="center"/>
          </w:tcPr>
          <w:p w14:paraId="1B007D2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Oriental Fortune Network Data Center</w:t>
            </w:r>
          </w:p>
        </w:tc>
      </w:tr>
      <w:tr w:rsidR="00E9227A" w:rsidRPr="00C667B1" w14:paraId="12C3C9BC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06E1109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0345B956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seat material</w:t>
            </w:r>
          </w:p>
        </w:tc>
        <w:tc>
          <w:tcPr>
            <w:tcW w:w="2005" w:type="dxa"/>
          </w:tcPr>
          <w:p w14:paraId="24E3DB3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545E28B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3B4E0EB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consumer price index for transportation and communications</w:t>
            </w:r>
          </w:p>
        </w:tc>
        <w:tc>
          <w:tcPr>
            <w:tcW w:w="2268" w:type="dxa"/>
            <w:vAlign w:val="center"/>
          </w:tcPr>
          <w:p w14:paraId="3C97487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National Bureau of Statistics data</w:t>
            </w:r>
          </w:p>
        </w:tc>
      </w:tr>
      <w:tr w:rsidR="00E9227A" w:rsidRPr="00C667B1" w14:paraId="1419FAF1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7C1EF63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4AD91378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number of speakers</w:t>
            </w:r>
          </w:p>
        </w:tc>
        <w:tc>
          <w:tcPr>
            <w:tcW w:w="2005" w:type="dxa"/>
          </w:tcPr>
          <w:p w14:paraId="04CCBAF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</w:tcPr>
          <w:p w14:paraId="3D2C429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66032D36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steel production</w:t>
            </w:r>
          </w:p>
        </w:tc>
        <w:tc>
          <w:tcPr>
            <w:tcW w:w="2268" w:type="dxa"/>
          </w:tcPr>
          <w:p w14:paraId="22EA5DB7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National Bureau of Statistics data</w:t>
            </w:r>
          </w:p>
        </w:tc>
      </w:tr>
      <w:tr w:rsidR="00E9227A" w:rsidRPr="00C667B1" w14:paraId="15260220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43BCB1A3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38F79BFF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number of cameras</w:t>
            </w:r>
          </w:p>
        </w:tc>
        <w:tc>
          <w:tcPr>
            <w:tcW w:w="2005" w:type="dxa"/>
          </w:tcPr>
          <w:p w14:paraId="0E28610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3E1FFA47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6BD1455D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rubber tire production</w:t>
            </w:r>
          </w:p>
        </w:tc>
        <w:tc>
          <w:tcPr>
            <w:tcW w:w="2268" w:type="dxa"/>
          </w:tcPr>
          <w:p w14:paraId="565EFD3D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National Bureau of Statistics data</w:t>
            </w:r>
          </w:p>
        </w:tc>
      </w:tr>
      <w:tr w:rsidR="00E9227A" w:rsidRPr="00C667B1" w14:paraId="4FAD51B8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6E2C4DD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34B3A84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number of radars</w:t>
            </w:r>
          </w:p>
        </w:tc>
        <w:tc>
          <w:tcPr>
            <w:tcW w:w="2005" w:type="dxa"/>
          </w:tcPr>
          <w:p w14:paraId="6B4C2813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63AA512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17F7D62E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gasoline production</w:t>
            </w:r>
          </w:p>
        </w:tc>
        <w:tc>
          <w:tcPr>
            <w:tcW w:w="2268" w:type="dxa"/>
          </w:tcPr>
          <w:p w14:paraId="19E05F1B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National Bureau of Statistics data</w:t>
            </w:r>
          </w:p>
        </w:tc>
      </w:tr>
      <w:tr w:rsidR="00E9227A" w:rsidRPr="00C667B1" w14:paraId="0B9A34B9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4724E18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6CEDB2A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color</w:t>
            </w:r>
          </w:p>
        </w:tc>
        <w:tc>
          <w:tcPr>
            <w:tcW w:w="2005" w:type="dxa"/>
          </w:tcPr>
          <w:p w14:paraId="75EC18CB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Merge/>
            <w:vAlign w:val="center"/>
          </w:tcPr>
          <w:p w14:paraId="7D80197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365D8521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USD exchange rate</w:t>
            </w:r>
          </w:p>
        </w:tc>
        <w:tc>
          <w:tcPr>
            <w:tcW w:w="2268" w:type="dxa"/>
            <w:vAlign w:val="center"/>
          </w:tcPr>
          <w:p w14:paraId="3CC924EC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w w:val="92"/>
                <w:sz w:val="13"/>
                <w:szCs w:val="13"/>
              </w:rPr>
              <w:t>People's Bank of China data</w:t>
            </w:r>
          </w:p>
        </w:tc>
      </w:tr>
      <w:tr w:rsidR="00E9227A" w:rsidRPr="00C667B1" w14:paraId="51BDB7EB" w14:textId="77777777" w:rsidTr="00C56F06">
        <w:trPr>
          <w:trHeight w:val="266"/>
        </w:trPr>
        <w:tc>
          <w:tcPr>
            <w:tcW w:w="993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14:paraId="35E55F8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bookmarkStart w:id="2" w:name="_Hlk99483258"/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consumer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3B8E41A4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forum text</w:t>
            </w:r>
          </w:p>
        </w:tc>
        <w:tc>
          <w:tcPr>
            <w:tcW w:w="2005" w:type="dxa"/>
            <w:tcBorders>
              <w:top w:val="single" w:sz="6" w:space="0" w:color="auto"/>
            </w:tcBorders>
          </w:tcPr>
          <w:p w14:paraId="5B78FFA0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tcBorders>
              <w:top w:val="single" w:sz="6" w:space="0" w:color="auto"/>
            </w:tcBorders>
            <w:vAlign w:val="center"/>
          </w:tcPr>
          <w:p w14:paraId="4BF38F2A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tcBorders>
              <w:top w:val="single" w:sz="6" w:space="0" w:color="auto"/>
            </w:tcBorders>
            <w:vAlign w:val="center"/>
          </w:tcPr>
          <w:p w14:paraId="59C829A1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Baidu Search Index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14:paraId="6EF1EA7D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Baidu Index Data</w:t>
            </w:r>
          </w:p>
        </w:tc>
      </w:tr>
      <w:bookmarkEnd w:id="2"/>
      <w:tr w:rsidR="00E9227A" w:rsidRPr="00C667B1" w14:paraId="4F3626E4" w14:textId="77777777" w:rsidTr="00C56F06">
        <w:trPr>
          <w:trHeight w:val="266"/>
        </w:trPr>
        <w:tc>
          <w:tcPr>
            <w:tcW w:w="993" w:type="dxa"/>
            <w:gridSpan w:val="2"/>
            <w:vMerge/>
            <w:vAlign w:val="center"/>
          </w:tcPr>
          <w:p w14:paraId="76458B9C" w14:textId="77777777" w:rsidR="00E9227A" w:rsidRPr="00C667B1" w:rsidRDefault="00E9227A" w:rsidP="00C56F06">
            <w:pPr>
              <w:pStyle w:val="f"/>
              <w:spacing w:line="240" w:lineRule="auto"/>
              <w:ind w:firstLine="238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134" w:type="dxa"/>
            <w:vAlign w:val="center"/>
          </w:tcPr>
          <w:p w14:paraId="6509C652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>word-of-mouth</w:t>
            </w:r>
          </w:p>
        </w:tc>
        <w:tc>
          <w:tcPr>
            <w:tcW w:w="2005" w:type="dxa"/>
          </w:tcPr>
          <w:p w14:paraId="430A324C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data of </w:t>
            </w:r>
            <w:r w:rsidRPr="00C667B1">
              <w:rPr>
                <w:rFonts w:ascii="Times New Roman" w:eastAsia="宋体" w:hAnsi="Times New Roman" w:cs="Times New Roman"/>
                <w:sz w:val="13"/>
                <w:szCs w:val="13"/>
              </w:rPr>
              <w:t>Vehicle</w:t>
            </w:r>
            <w:r w:rsidRPr="00C667B1"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  <w:t xml:space="preserve"> Owner's Home</w:t>
            </w:r>
          </w:p>
        </w:tc>
        <w:tc>
          <w:tcPr>
            <w:tcW w:w="971" w:type="dxa"/>
            <w:vAlign w:val="center"/>
          </w:tcPr>
          <w:p w14:paraId="793866C5" w14:textId="77777777" w:rsidR="00E9227A" w:rsidRPr="00C667B1" w:rsidRDefault="00E9227A" w:rsidP="00C56F06">
            <w:pPr>
              <w:pStyle w:val="f"/>
              <w:spacing w:line="24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color w:val="000000"/>
                <w:spacing w:val="0"/>
                <w:w w:val="92"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03CB999E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</w:p>
        </w:tc>
        <w:tc>
          <w:tcPr>
            <w:tcW w:w="2268" w:type="dxa"/>
          </w:tcPr>
          <w:p w14:paraId="34D0F43A" w14:textId="77777777" w:rsidR="00E9227A" w:rsidRPr="00C667B1" w:rsidRDefault="00E9227A" w:rsidP="00C56F06">
            <w:pPr>
              <w:widowControl/>
              <w:jc w:val="left"/>
              <w:rPr>
                <w:rFonts w:ascii="Times New Roman" w:eastAsia="宋体" w:hAnsi="Times New Roman" w:cs="Times New Roman"/>
                <w:spacing w:val="6"/>
                <w:w w:val="95"/>
                <w:sz w:val="13"/>
                <w:szCs w:val="13"/>
              </w:rPr>
            </w:pPr>
          </w:p>
        </w:tc>
      </w:tr>
    </w:tbl>
    <w:p w14:paraId="22AD62EA" w14:textId="77777777" w:rsidR="00E9227A" w:rsidRDefault="00E9227A"/>
    <w:sectPr w:rsidR="00E9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BC69" w14:textId="77777777" w:rsidR="00BD6AA6" w:rsidRDefault="00BD6AA6" w:rsidP="00E9227A">
      <w:r>
        <w:separator/>
      </w:r>
    </w:p>
  </w:endnote>
  <w:endnote w:type="continuationSeparator" w:id="0">
    <w:p w14:paraId="7179DF56" w14:textId="77777777" w:rsidR="00BD6AA6" w:rsidRDefault="00BD6AA6" w:rsidP="00E9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D627" w14:textId="77777777" w:rsidR="00BD6AA6" w:rsidRDefault="00BD6AA6" w:rsidP="00E9227A">
      <w:r>
        <w:separator/>
      </w:r>
    </w:p>
  </w:footnote>
  <w:footnote w:type="continuationSeparator" w:id="0">
    <w:p w14:paraId="30282251" w14:textId="77777777" w:rsidR="00BD6AA6" w:rsidRDefault="00BD6AA6" w:rsidP="00E92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E59"/>
    <w:rsid w:val="00033687"/>
    <w:rsid w:val="00823E59"/>
    <w:rsid w:val="00AE611F"/>
    <w:rsid w:val="00BD6AA6"/>
    <w:rsid w:val="00E9227A"/>
    <w:rsid w:val="00F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8C7DE"/>
  <w15:chartTrackingRefBased/>
  <w15:docId w15:val="{958B0B3D-F894-46A1-B2DB-C39FACB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27A"/>
    <w:rPr>
      <w:sz w:val="18"/>
      <w:szCs w:val="18"/>
    </w:rPr>
  </w:style>
  <w:style w:type="character" w:customStyle="1" w:styleId="fChar">
    <w:name w:val="&lt;f文章正文&gt; Char"/>
    <w:link w:val="f"/>
    <w:rsid w:val="00E9227A"/>
    <w:rPr>
      <w:rFonts w:eastAsia="华文中宋"/>
      <w:spacing w:val="6"/>
      <w:w w:val="95"/>
      <w:szCs w:val="21"/>
    </w:rPr>
  </w:style>
  <w:style w:type="paragraph" w:customStyle="1" w:styleId="f">
    <w:name w:val="&lt;f文章正文&gt;"/>
    <w:basedOn w:val="a"/>
    <w:link w:val="fChar"/>
    <w:rsid w:val="00E9227A"/>
    <w:pPr>
      <w:spacing w:line="300" w:lineRule="atLeast"/>
      <w:ind w:firstLineChars="200" w:firstLine="200"/>
    </w:pPr>
    <w:rPr>
      <w:rFonts w:eastAsia="华文中宋"/>
      <w:spacing w:val="6"/>
      <w:w w:val="95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8615271860684</dc:creator>
  <cp:keywords/>
  <dc:description/>
  <cp:lastModifiedBy>8615271860684</cp:lastModifiedBy>
  <cp:revision>3</cp:revision>
  <dcterms:created xsi:type="dcterms:W3CDTF">2022-09-09T01:22:00Z</dcterms:created>
  <dcterms:modified xsi:type="dcterms:W3CDTF">2022-09-09T01:22:00Z</dcterms:modified>
</cp:coreProperties>
</file>