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Reporting</w:t>
      </w:r>
    </w:p>
    <w:p>
      <w:pPr>
        <w:pStyle w:val="Author"/>
      </w:pPr>
      <w:r>
        <w:t xml:space="preserve">Ashlyn</w:t>
      </w:r>
      <w:r>
        <w:t xml:space="preserve"> </w:t>
      </w:r>
      <w:r>
        <w:t xml:space="preserve">Bray</w:t>
      </w:r>
    </w:p>
    <w:p>
      <w:pPr>
        <w:pStyle w:val="Date"/>
      </w:pPr>
      <w:r>
        <w:t xml:space="preserve">2024-10-08</w:t>
      </w:r>
    </w:p>
    <w:bookmarkStart w:id="23" w:name="graph-showing-iq-levels-by-location"/>
    <w:p>
      <w:pPr>
        <w:pStyle w:val="Heading2"/>
      </w:pPr>
      <w:r>
        <w:t xml:space="preserve">Graph showing IQ levels by location</w:t>
      </w:r>
    </w:p>
    <w:p>
      <w:pPr>
        <w:pStyle w:val="FirstParagraph"/>
      </w:pPr>
      <w:r>
        <w:t xml:space="preserve">Figure 1</w:t>
      </w:r>
      <w:r>
        <w:t xml:space="preserve"> </w:t>
      </w:r>
      <w:r>
        <w:drawing>
          <wp:inline>
            <wp:extent cx="4620126" cy="3696101"/>
            <wp:effectExtent b="0" l="0" r="0" t="0"/>
            <wp:docPr descr="" title="" id="21" name="Picture"/>
            <a:graphic>
              <a:graphicData uri="http://schemas.openxmlformats.org/drawingml/2006/picture">
                <pic:pic>
                  <pic:nvPicPr>
                    <pic:cNvPr descr="C:\Users\ashly\Desktop\Statistcal%20Consulting\Bray_Project_01\Reports\Reproducible_Reporting_files/figure-docx/plo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1 presents a box plot of IQ levels categorized by location status, specifically distance from the smelter. The graph indicates that the median IQ value for individuals living far from the smelter is higher than that of those living closer. However, there is considerable overlap between the IQR of the two groups, suggesting that there may not be a significant difference in IQ levels between them.</w:t>
      </w:r>
    </w:p>
    <w:p>
      <w:r>
        <w:br w:type="page"/>
      </w:r>
    </w:p>
    <w:bookmarkEnd w:id="23"/>
    <w:bookmarkStart w:id="24" w:name="formatted-table"/>
    <w:p>
      <w:pPr>
        <w:pStyle w:val="Heading2"/>
      </w:pPr>
      <w:r>
        <w:t xml:space="preserve">Formatted Table</w:t>
      </w:r>
    </w:p>
    <w:p>
      <w:pPr>
        <w:pStyle w:val="TableCaption"/>
      </w:pPr>
      <w:r>
        <w:t xml:space="preserve">Summary of IQ Levels by Location Status</w:t>
      </w:r>
    </w:p>
    <w:tbl>
      <w:tblPr>
        <w:tblStyle w:val="Table"/>
        <w:tblW w:type="auto" w:w="0"/>
        <w:tblLook w:firstRow="1" w:lastRow="0" w:firstColumn="0" w:lastColumn="0" w:noHBand="0" w:noVBand="0" w:val="0020"/>
        <w:tblCaption w:val="Summary of IQ Levels by Location Status"/>
      </w:tblPr>
      <w:tblGrid>
        <w:gridCol w:w="1320"/>
        <w:gridCol w:w="1320"/>
        <w:gridCol w:w="1320"/>
        <w:gridCol w:w="1320"/>
        <w:gridCol w:w="1320"/>
        <w:gridCol w:w="1320"/>
      </w:tblGrid>
      <w:tr>
        <w:trPr>
          <w:tblHeader w:val="on"/>
        </w:trPr>
        <w:tc>
          <w:tcPr/>
          <w:p>
            <w:pPr>
              <w:pStyle w:val="Compact"/>
              <w:jc w:val="left"/>
            </w:pPr>
            <w:r>
              <w:t xml:space="preserve">Location</w:t>
            </w:r>
          </w:p>
        </w:tc>
        <w:tc>
          <w:tcPr/>
          <w:p>
            <w:pPr>
              <w:pStyle w:val="Compact"/>
              <w:jc w:val="right"/>
            </w:pPr>
            <w:r>
              <w:t xml:space="preserve">Mean_IQ</w:t>
            </w:r>
          </w:p>
        </w:tc>
        <w:tc>
          <w:tcPr/>
          <w:p>
            <w:pPr>
              <w:pStyle w:val="Compact"/>
              <w:jc w:val="right"/>
            </w:pPr>
            <w:r>
              <w:t xml:space="preserve">SD_IQ</w:t>
            </w:r>
          </w:p>
        </w:tc>
        <w:tc>
          <w:tcPr/>
          <w:p>
            <w:pPr>
              <w:pStyle w:val="Compact"/>
              <w:jc w:val="right"/>
            </w:pPr>
            <w:r>
              <w:t xml:space="preserve">Median_IQ</w:t>
            </w:r>
          </w:p>
        </w:tc>
        <w:tc>
          <w:tcPr/>
          <w:p>
            <w:pPr>
              <w:pStyle w:val="Compact"/>
              <w:jc w:val="right"/>
            </w:pPr>
            <w:r>
              <w:t xml:space="preserve">Q1_IQ</w:t>
            </w:r>
          </w:p>
        </w:tc>
        <w:tc>
          <w:tcPr/>
          <w:p>
            <w:pPr>
              <w:pStyle w:val="Compact"/>
              <w:jc w:val="right"/>
            </w:pPr>
            <w:r>
              <w:t xml:space="preserve">Q3_IQ</w:t>
            </w:r>
          </w:p>
        </w:tc>
      </w:tr>
      <w:tr>
        <w:tc>
          <w:tcPr/>
          <w:p>
            <w:pPr>
              <w:pStyle w:val="Compact"/>
              <w:jc w:val="left"/>
            </w:pPr>
            <w:r>
              <w:t xml:space="preserve">Far</w:t>
            </w:r>
          </w:p>
        </w:tc>
        <w:tc>
          <w:tcPr/>
          <w:p>
            <w:pPr>
              <w:pStyle w:val="Compact"/>
              <w:jc w:val="right"/>
            </w:pPr>
            <w:r>
              <w:t xml:space="preserve">92.69</w:t>
            </w:r>
          </w:p>
        </w:tc>
        <w:tc>
          <w:tcPr/>
          <w:p>
            <w:pPr>
              <w:pStyle w:val="Compact"/>
              <w:jc w:val="right"/>
            </w:pPr>
            <w:r>
              <w:t xml:space="preserve">15.97</w:t>
            </w:r>
          </w:p>
        </w:tc>
        <w:tc>
          <w:tcPr/>
          <w:p>
            <w:pPr>
              <w:pStyle w:val="Compact"/>
              <w:jc w:val="right"/>
            </w:pPr>
            <w:r>
              <w:t xml:space="preserve">93</w:t>
            </w:r>
          </w:p>
        </w:tc>
        <w:tc>
          <w:tcPr/>
          <w:p>
            <w:pPr>
              <w:pStyle w:val="Compact"/>
              <w:jc w:val="right"/>
            </w:pPr>
            <w:r>
              <w:t xml:space="preserve">84</w:t>
            </w:r>
          </w:p>
        </w:tc>
        <w:tc>
          <w:tcPr/>
          <w:p>
            <w:pPr>
              <w:pStyle w:val="Compact"/>
              <w:jc w:val="right"/>
            </w:pPr>
            <w:r>
              <w:t xml:space="preserve">100.5</w:t>
            </w:r>
          </w:p>
        </w:tc>
      </w:tr>
      <w:tr>
        <w:tc>
          <w:tcPr/>
          <w:p>
            <w:pPr>
              <w:pStyle w:val="Compact"/>
              <w:jc w:val="left"/>
            </w:pPr>
            <w:r>
              <w:t xml:space="preserve">Near</w:t>
            </w:r>
          </w:p>
        </w:tc>
        <w:tc>
          <w:tcPr/>
          <w:p>
            <w:pPr>
              <w:pStyle w:val="Compact"/>
              <w:jc w:val="right"/>
            </w:pPr>
            <w:r>
              <w:t xml:space="preserve">89.19</w:t>
            </w:r>
          </w:p>
        </w:tc>
        <w:tc>
          <w:tcPr/>
          <w:p>
            <w:pPr>
              <w:pStyle w:val="Compact"/>
              <w:jc w:val="right"/>
            </w:pPr>
            <w:r>
              <w:t xml:space="preserve">12.17</w:t>
            </w:r>
          </w:p>
        </w:tc>
        <w:tc>
          <w:tcPr/>
          <w:p>
            <w:pPr>
              <w:pStyle w:val="Compact"/>
              <w:jc w:val="right"/>
            </w:pPr>
            <w:r>
              <w:t xml:space="preserve">88</w:t>
            </w:r>
          </w:p>
        </w:tc>
        <w:tc>
          <w:tcPr/>
          <w:p>
            <w:pPr>
              <w:pStyle w:val="Compact"/>
              <w:jc w:val="right"/>
            </w:pPr>
            <w:r>
              <w:t xml:space="preserve">80</w:t>
            </w:r>
          </w:p>
        </w:tc>
        <w:tc>
          <w:tcPr/>
          <w:p>
            <w:pPr>
              <w:pStyle w:val="Compact"/>
              <w:jc w:val="right"/>
            </w:pPr>
            <w:r>
              <w:t xml:space="preserve">96.0</w:t>
            </w:r>
          </w:p>
        </w:tc>
      </w:tr>
    </w:tbl>
    <w:p>
      <w:pPr>
        <w:pStyle w:val="BodyText"/>
      </w:pPr>
      <w:r>
        <w:t xml:space="preserve">Table 1 indicates that individuals living farther from the smelter tend to have a higher mean IQ compared to those residing closer. However, the difference is minimal, and the standard deviation shows considerable overlap between the two groups.</w:t>
      </w:r>
    </w:p>
    <w:p>
      <w:pPr>
        <w:pStyle w:val="BodyText"/>
      </w:pPr>
      <w:r>
        <w:t xml:space="preserve">When examining the median and IQR, we find similar results as compared to looking at the mean and standard deviation. We observe that the group living farther still has a higher median IQ when compared to the computations found when the outlier was still included, but the difference is likely not significant due to the substantial overlap between the groups.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Reporting</dc:title>
  <dc:creator>Ashlyn Bray</dc:creator>
  <cp:keywords/>
  <dcterms:created xsi:type="dcterms:W3CDTF">2024-10-08T18:24:18Z</dcterms:created>
  <dcterms:modified xsi:type="dcterms:W3CDTF">2024-10-08T18:24:18Z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y fmtid="{D5CDD505-2E9C-101B-9397-08002B2CF9AE}" pid="3" name="knit">
    <vt:lpwstr>(function(inputFile, encoding){ out_dir &lt;- “../Reports”; rmarkdown::render(inputFile, output_format=“word_document”, encoding=encoding, output_dir=out_dir)})</vt:lpwstr>
  </property>
</Properties>
</file>