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Protecting the Lie: A Confirmation-Based Reconceptualization of Narcissistic Supply</w:t>
      </w:r>
    </w:p>
    <w:p>
      <w:pPr>
        <w:spacing w:after="60"/>
        <w:jc w:val="center"/>
      </w:pPr>
      <w:r>
        <w:rPr>
          <w:rFonts w:ascii="Times New Roman" w:cs="Times New Roman" w:eastAsia="Times New Roman" w:hAnsi="Times New Roman"/>
          <w:sz w:val="24"/>
          <w:szCs w:val="24"/>
        </w:rPr>
        <w:t xml:space="preserve">Ashman Roonz</w:t>
      </w:r>
    </w:p>
    <w:p>
      <w:pPr>
        <w:spacing w:after="60"/>
        <w:jc w:val="center"/>
      </w:pPr>
      <w:r>
        <w:rPr>
          <w:rFonts w:ascii="Times New Roman" w:cs="Times New Roman" w:eastAsia="Times New Roman" w:hAnsi="Times New Roman"/>
          <w:i/>
          <w:iCs/>
          <w:sz w:val="22"/>
          <w:szCs w:val="22"/>
        </w:rPr>
        <w:t xml:space="preserve">Independent Researcher</w:t>
      </w:r>
    </w:p>
    <w:p>
      <w:pPr>
        <w:spacing w:after="320"/>
        <w:jc w:val="center"/>
      </w:pPr>
      <w:r>
        <w:rPr>
          <w:rFonts w:ascii="Times New Roman" w:cs="Times New Roman" w:eastAsia="Times New Roman" w:hAnsi="Times New Roman"/>
          <w:i/>
          <w:iCs/>
          <w:sz w:val="20"/>
          <w:szCs w:val="20"/>
        </w:rPr>
        <w:t xml:space="preserve">Theoretical working paper (preprint, not peer reviewed). July 2026.</w:t>
      </w:r>
    </w:p>
    <w:p>
      <w:pPr>
        <w:pStyle w:val="Heading1"/>
        <w:spacing w:after="160" w:before="280"/>
      </w:pPr>
      <w:r>
        <w:rPr>
          <w:rFonts w:ascii="Times New Roman" w:cs="Times New Roman" w:eastAsia="Times New Roman" w:hAnsi="Times New Roman"/>
          <w:b/>
          <w:bCs/>
          <w:color w:val="000000"/>
          <w:sz w:val="24"/>
          <w:szCs w:val="24"/>
        </w:rPr>
        <w:t xml:space="preserve">Abstract</w:t>
      </w:r>
    </w:p>
    <w:p>
      <w:pPr>
        <w:spacing w:after="160" w:line="300"/>
        <w:jc w:val="both"/>
      </w:pPr>
      <w:r>
        <w:rPr>
          <w:rFonts w:ascii="Times New Roman" w:cs="Times New Roman" w:eastAsia="Times New Roman" w:hAnsi="Times New Roman"/>
          <w:b w:val="false"/>
          <w:bCs w:val="false"/>
          <w:i w:val="false"/>
          <w:iCs w:val="false"/>
          <w:sz w:val="22"/>
          <w:szCs w:val="22"/>
        </w:rPr>
        <w:t xml:space="preserve">"Narcissistic supply" is conventionally described as the attention, admiration, fear, sympathy, or obedience that a narcissistic person extracts from others, and narcissism is often glossed as an addiction to such supply. This paper argues that the conventional account inverts the causal structure it describes: the person does not maintain a false self in order to obtain supply; they seek supply because it protects the false self. At the center of the narcissistic organization is a Protected Identity Proposition: a self-defining claim (I am superior; I am innocent; I am the real victim; my failures are caused by others) that is treated as necessary for identity coherence and is exempted from ordinary belief revision. The defining feature is not that the claim is false but that it is not allowed to lose. On this model, supply is a social signal interpreted as indicating that the protected claim remains uncontested or socially enforceable, which explains why supply never satisfies, why credible contradiction provokes disproportionate defense, and why hedonically opposite supplies (admiration and pity) substitute for one another. DARVO-type responses are reframed as a recurrent family of identity-protection operations. Six testable predictions are stated, including one already challenged by existing evidence, and corrigibility (the restored capacity to survive correction) is proposed as the treatment-relevant outcome variable.</w:t>
      </w:r>
    </w:p>
    <w:p>
      <w:pPr>
        <w:spacing w:after="160" w:line="300"/>
        <w:jc w:val="both"/>
      </w:pPr>
      <w:r>
        <w:rPr>
          <w:rFonts w:ascii="Times New Roman" w:cs="Times New Roman" w:eastAsia="Times New Roman" w:hAnsi="Times New Roman"/>
          <w:b w:val="false"/>
          <w:bCs w:val="false"/>
          <w:i/>
          <w:iCs/>
          <w:sz w:val="22"/>
          <w:szCs w:val="22"/>
        </w:rPr>
        <w:t xml:space="preserve">Keywords: narcissism; narcissistic supply; ego threat; DARVO; belief revision; identity; corrigibility</w:t>
      </w:r>
    </w:p>
    <w:p>
      <w:pPr>
        <w:pStyle w:val="Heading1"/>
        <w:spacing w:after="160" w:before="280"/>
      </w:pPr>
      <w:r>
        <w:rPr>
          <w:rFonts w:ascii="Times New Roman" w:cs="Times New Roman" w:eastAsia="Times New Roman" w:hAnsi="Times New Roman"/>
          <w:b/>
          <w:bCs/>
          <w:color w:val="000000"/>
          <w:sz w:val="24"/>
          <w:szCs w:val="24"/>
        </w:rPr>
        <w:t xml:space="preserve">1. The problem with "supply"</w:t>
      </w:r>
    </w:p>
    <w:p>
      <w:pPr>
        <w:spacing w:after="160" w:line="300"/>
        <w:jc w:val="both"/>
      </w:pPr>
      <w:r>
        <w:rPr>
          <w:rFonts w:ascii="Times New Roman" w:cs="Times New Roman" w:eastAsia="Times New Roman" w:hAnsi="Times New Roman"/>
          <w:b w:val="false"/>
          <w:bCs w:val="false"/>
          <w:i w:val="false"/>
          <w:iCs w:val="false"/>
          <w:sz w:val="22"/>
          <w:szCs w:val="22"/>
        </w:rPr>
        <w:t xml:space="preserve">The term "narcissistic supplies" entered the literature with Fenichel (1938), who described external provisions of affection and approval required by an ego that cannot regulate self-esteem internally. In the decades since, and especially in the last twenty years, the term has migrated out of the clinic into popular psychology and survivor communities, where it now names a commodity: the attention the narcissist is supposedly after. On this received view the narcissist is a consumer of psychological fuel, and the familiar metaphors follow: the empty cup, the bottomless tank, the addict chasing a fix. Baumeister and Vohs (2001) made the addiction version explicit in the academic literature, proposing that narcissism operates as an addiction to esteem, complete with a tolerance pattern in which ever larger doses are required.</w:t>
      </w:r>
    </w:p>
    <w:p>
      <w:pPr>
        <w:spacing w:after="160" w:line="300"/>
        <w:jc w:val="both"/>
      </w:pPr>
      <w:r>
        <w:rPr>
          <w:rFonts w:ascii="Times New Roman" w:cs="Times New Roman" w:eastAsia="Times New Roman" w:hAnsi="Times New Roman"/>
          <w:b w:val="false"/>
          <w:bCs w:val="false"/>
          <w:i w:val="false"/>
          <w:iCs w:val="false"/>
          <w:sz w:val="22"/>
          <w:szCs w:val="22"/>
        </w:rPr>
        <w:t xml:space="preserve">The received view has real strengths. It predicts approach behavior (narcissists seek audiences), it predicts distress under deprivation, and it gives victims a usable heuristic: become a boring source and the extraction stops. Any successor account must keep these successes. But the fuel picture mistakes the fuel for the engine, and three well-documented phenomena fit it badly.</w:t>
      </w:r>
    </w:p>
    <w:p>
      <w:pPr>
        <w:pStyle w:val="Heading1"/>
        <w:spacing w:after="160" w:before="280"/>
      </w:pPr>
      <w:r>
        <w:rPr>
          <w:rFonts w:ascii="Times New Roman" w:cs="Times New Roman" w:eastAsia="Times New Roman" w:hAnsi="Times New Roman"/>
          <w:b/>
          <w:bCs/>
          <w:color w:val="000000"/>
          <w:sz w:val="24"/>
          <w:szCs w:val="24"/>
        </w:rPr>
        <w:t xml:space="preserve">2. Three anomalies</w:t>
      </w:r>
    </w:p>
    <w:p>
      <w:pPr>
        <w:spacing w:after="160" w:line="300"/>
        <w:jc w:val="both"/>
      </w:pPr>
      <w:r>
        <w:rPr>
          <w:rFonts w:ascii="Times New Roman" w:cs="Times New Roman" w:eastAsia="Times New Roman" w:hAnsi="Times New Roman"/>
          <w:b/>
          <w:bCs/>
          <w:sz w:val="22"/>
          <w:szCs w:val="22"/>
        </w:rPr>
        <w:t xml:space="preserve">Insatiability. </w:t>
      </w:r>
      <w:r>
        <w:rPr>
          <w:rFonts w:ascii="Times New Roman" w:cs="Times New Roman" w:eastAsia="Times New Roman" w:hAnsi="Times New Roman"/>
          <w:sz w:val="22"/>
          <w:szCs w:val="22"/>
        </w:rPr>
        <w:t xml:space="preserve">Fuel models predict satiation: a tank, once filled, stays full for a while. Clinical descriptions from Kernberg (1975) onward converge on the observation that admiration does not accumulate; yesterday's triumph is inert today. The addiction variant answers with tolerance, and commits to a specific curve: larger doses should restore relief. What clinicians describe is closer to reassurance dynamics: relief that decays rapidly regardless of dose, because the underlying threat is untouched by the reassurance. Tolerance and reassurance decay are quantitatively distinguishable, and this difference is testable.</w:t>
      </w:r>
    </w:p>
    <w:p>
      <w:pPr>
        <w:spacing w:after="160" w:line="300"/>
        <w:jc w:val="both"/>
      </w:pPr>
      <w:r>
        <w:rPr>
          <w:rFonts w:ascii="Times New Roman" w:cs="Times New Roman" w:eastAsia="Times New Roman" w:hAnsi="Times New Roman"/>
          <w:b/>
          <w:bCs/>
          <w:sz w:val="22"/>
          <w:szCs w:val="22"/>
        </w:rPr>
        <w:t xml:space="preserve">The response to contradiction. </w:t>
      </w:r>
      <w:r>
        <w:rPr>
          <w:rFonts w:ascii="Times New Roman" w:cs="Times New Roman" w:eastAsia="Times New Roman" w:hAnsi="Times New Roman"/>
          <w:sz w:val="22"/>
          <w:szCs w:val="22"/>
        </w:rPr>
        <w:t xml:space="preserve">On the fuel picture, criticism is a supply interruption, and the predicted response is renewed extraction elsewhere. What is actually observed is a stereotyped emergency repertoire: deny the evidence, discredit the witness, rewrite the history, attack the critic, reverse victim and offender. Freyd (1997) named the core of this pattern DARVO, and experimental work shows it is effective: exposure to DARVO responses reduces perceived perpetrator responsibility and victim credibility (Harsey &amp; Freyd, 2020). A fuel interruption does not explain why the witness must be discredited rather than merely replaced. Witnesses are only worth destroying if they threaten something structural.</w:t>
      </w:r>
    </w:p>
    <w:p>
      <w:pPr>
        <w:spacing w:after="160" w:line="300"/>
        <w:jc w:val="both"/>
      </w:pPr>
      <w:r>
        <w:rPr>
          <w:rFonts w:ascii="Times New Roman" w:cs="Times New Roman" w:eastAsia="Times New Roman" w:hAnsi="Times New Roman"/>
          <w:b/>
          <w:bCs/>
          <w:sz w:val="22"/>
          <w:szCs w:val="22"/>
        </w:rPr>
        <w:t xml:space="preserve">Substitutability of opposites. </w:t>
      </w:r>
      <w:r>
        <w:rPr>
          <w:rFonts w:ascii="Times New Roman" w:cs="Times New Roman" w:eastAsia="Times New Roman" w:hAnsi="Times New Roman"/>
          <w:sz w:val="22"/>
          <w:szCs w:val="22"/>
        </w:rPr>
        <w:t xml:space="preserve">Admiration and pity are hedonic opposites; being feared and being comforted are hedonic opposites. Yet the same person switches between harvesting them, a pattern now central to the structural literature on grandiose and vulnerable presentations (Pincus et al., 2009; Krizan &amp; Herlache, 2018). A fuel model must flatten all of these into "attention." Whatever unifies them is not how they feel; it is what they signal.</w:t>
      </w:r>
    </w:p>
    <w:p>
      <w:pPr>
        <w:pStyle w:val="Heading1"/>
        <w:spacing w:after="160" w:before="280"/>
      </w:pPr>
      <w:r>
        <w:rPr>
          <w:rFonts w:ascii="Times New Roman" w:cs="Times New Roman" w:eastAsia="Times New Roman" w:hAnsi="Times New Roman"/>
          <w:b/>
          <w:bCs/>
          <w:color w:val="000000"/>
          <w:sz w:val="24"/>
          <w:szCs w:val="24"/>
        </w:rPr>
        <w:t xml:space="preserve">3. The Protected Identity Proposition</w:t>
      </w:r>
    </w:p>
    <w:p>
      <w:pPr>
        <w:spacing w:after="160" w:line="300"/>
        <w:jc w:val="both"/>
      </w:pPr>
      <w:r>
        <w:rPr>
          <w:rFonts w:ascii="Times New Roman" w:cs="Times New Roman" w:eastAsia="Times New Roman" w:hAnsi="Times New Roman"/>
          <w:b w:val="false"/>
          <w:bCs w:val="false"/>
          <w:i w:val="false"/>
          <w:iCs w:val="false"/>
          <w:sz w:val="22"/>
          <w:szCs w:val="22"/>
        </w:rPr>
        <w:t xml:space="preserve">The model proposed here locates the center of the narcissistic organization not in an appetite but in a proposition.</w:t>
      </w:r>
    </w:p>
    <w:p>
      <w:pPr>
        <w:spacing w:after="160" w:line="300"/>
        <w:jc w:val="both"/>
      </w:pPr>
      <w:r>
        <w:rPr>
          <w:rFonts w:ascii="Times New Roman" w:cs="Times New Roman" w:eastAsia="Times New Roman" w:hAnsi="Times New Roman"/>
          <w:b/>
          <w:bCs/>
          <w:sz w:val="22"/>
          <w:szCs w:val="22"/>
        </w:rPr>
        <w:t xml:space="preserve">Definition. </w:t>
      </w:r>
      <w:r>
        <w:rPr>
          <w:rFonts w:ascii="Times New Roman" w:cs="Times New Roman" w:eastAsia="Times New Roman" w:hAnsi="Times New Roman"/>
          <w:sz w:val="22"/>
          <w:szCs w:val="22"/>
        </w:rPr>
        <w:t xml:space="preserve">A Protected Identity Proposition (PIP) is a self-relevant claim, held not merely as a revisable description but as constitutive of identity coherence, that satisfies two conditions:</w:t>
      </w:r>
    </w:p>
    <w:p>
      <w:pPr>
        <w:pStyle w:val="ListParagraph"/>
        <w:numPr>
          <w:ilvl w:val="0"/>
          <w:numId w:val="2"/>
        </w:numPr>
        <w:spacing w:after="140" w:line="300"/>
        <w:jc w:val="both"/>
      </w:pPr>
      <w:r>
        <w:rPr>
          <w:rFonts w:ascii="Times New Roman" w:cs="Times New Roman" w:eastAsia="Times New Roman" w:hAnsi="Times New Roman"/>
          <w:sz w:val="22"/>
          <w:szCs w:val="22"/>
        </w:rPr>
        <w:t xml:space="preserve">Load-bearing. The claim's continued standing is treated as necessary for the self to hold together. The felt alternative to the claim is not "I was wrong" but self-dissolution: annihilating shame.</w:t>
      </w:r>
    </w:p>
    <w:p>
      <w:pPr>
        <w:pStyle w:val="ListParagraph"/>
        <w:numPr>
          <w:ilvl w:val="0"/>
          <w:numId w:val="2"/>
        </w:numPr>
        <w:spacing w:after="140" w:line="300"/>
        <w:jc w:val="both"/>
      </w:pPr>
      <w:r>
        <w:rPr>
          <w:rFonts w:ascii="Times New Roman" w:cs="Times New Roman" w:eastAsia="Times New Roman" w:hAnsi="Times New Roman"/>
          <w:sz w:val="22"/>
          <w:szCs w:val="22"/>
        </w:rPr>
        <w:t xml:space="preserve">Exemption from revision. The claim is defended through asymmetric standards of evidence, witness management, and resistance to correction. Evidence against it is not weighed; it is handled. In short: the belief is not allowed to lose.</w:t>
      </w:r>
    </w:p>
    <w:p>
      <w:pPr>
        <w:spacing w:after="160" w:line="300"/>
        <w:jc w:val="both"/>
      </w:pPr>
      <w:r>
        <w:rPr>
          <w:rFonts w:ascii="Times New Roman" w:cs="Times New Roman" w:eastAsia="Times New Roman" w:hAnsi="Times New Roman"/>
          <w:b w:val="false"/>
          <w:bCs w:val="false"/>
          <w:i w:val="false"/>
          <w:iCs w:val="false"/>
          <w:sz w:val="22"/>
          <w:szCs w:val="22"/>
        </w:rPr>
        <w:t xml:space="preserve">Falsity is deliberately not a defining condition. A researcher cannot decisively score the truth of "I am unusually intelligent" or "I am usually treated unfairly," and does not need to. The pathology is located in the closed correction process, not in a truth value. Falsity is the typical consequence rather than the criterion: a claim that can never lose drifts from the evidence, because whatever error it contains can never be removed. The model thereby covers exaggerations, selective truths, and unfalsifiable stories as readily as clean falsehoods. In public-facing language such a proposition can fairly be called a lie, because a claim insulated from correction functions as a lie for everyone downstream of it; but no conscious deception is asserted, and none is required.</w:t>
      </w:r>
    </w:p>
    <w:p>
      <w:pPr>
        <w:spacing w:after="160" w:line="300"/>
        <w:jc w:val="both"/>
      </w:pPr>
      <w:r>
        <w:rPr>
          <w:rFonts w:ascii="Times New Roman" w:cs="Times New Roman" w:eastAsia="Times New Roman" w:hAnsi="Times New Roman"/>
          <w:b/>
          <w:bCs/>
          <w:sz w:val="22"/>
          <w:szCs w:val="22"/>
        </w:rPr>
        <w:t xml:space="preserve">Supply, redefined. </w:t>
      </w:r>
      <w:r>
        <w:rPr>
          <w:rFonts w:ascii="Times New Roman" w:cs="Times New Roman" w:eastAsia="Times New Roman" w:hAnsi="Times New Roman"/>
          <w:sz w:val="22"/>
          <w:szCs w:val="22"/>
        </w:rPr>
        <w:t xml:space="preserve">Because the proposition must be maintained regardless of what the evidence does, reality bears on it continuously: every ordinary failure, every unimpressed stranger, every accurate memory held by another person is a standing challenge that cannot be metabolized as an update. A revision-exempt claim therefore generates a permanent defense workload, and supply is one of the two currencies that pay for it. Supply is a social signal interpreted as indicating that the protected proposition remains uncontested or socially enforceable. Praise is read as superiority standing; obedience as entitlement standing; fear as power standing; sympathy as innocence standing; even persecution is read as victimhood standing. Two precisions matter. First, confirmation is the organization's reading of the signal, not a property of the signal: praise is not evidence of superiority, and the model never treats it as such. Second, "socially enforceable" carries weight: it is not necessary that others sincerely believe the proposition, only that nobody can successfully challenge it, which is why intimidation, institutional power, and silence can substitute for sincere admiration.</w:t>
      </w:r>
    </w:p>
    <w:p>
      <w:pPr>
        <w:spacing w:after="160" w:line="300"/>
        <w:jc w:val="both"/>
      </w:pPr>
      <w:r>
        <w:rPr>
          <w:rFonts w:ascii="Times New Roman" w:cs="Times New Roman" w:eastAsia="Times New Roman" w:hAnsi="Times New Roman"/>
          <w:b w:val="false"/>
          <w:bCs w:val="false"/>
          <w:i w:val="false"/>
          <w:iCs w:val="false"/>
          <w:sz w:val="22"/>
          <w:szCs w:val="22"/>
        </w:rPr>
        <w:t xml:space="preserve">This redefinition explains the three anomalies at once. Supply cannot satiate because it is a perimeter report, not a stored resource: its value decays at the rate at which the environment re-presents challenges, which is continuous. Contradiction provokes disproportionate response because it is not lost fuel but a structural threat to the claim holding the self together. And opposite supplies substitute because they confirm different clauses of the same protected proposition; when superiority becomes indefensible in a given audience, the innocence clause is activated and the harvested signal switches from admiration to sympathy. The surface behavior reverses; the function is continuous.</w:t>
      </w:r>
    </w:p>
    <w:p>
      <w:pPr>
        <w:pStyle w:val="Heading1"/>
        <w:spacing w:after="160" w:before="280"/>
      </w:pPr>
      <w:r>
        <w:rPr>
          <w:rFonts w:ascii="Times New Roman" w:cs="Times New Roman" w:eastAsia="Times New Roman" w:hAnsi="Times New Roman"/>
          <w:b/>
          <w:bCs/>
          <w:color w:val="000000"/>
          <w:sz w:val="24"/>
          <w:szCs w:val="24"/>
        </w:rPr>
        <w:t xml:space="preserve">4. The protection operations</w:t>
      </w:r>
    </w:p>
    <w:p>
      <w:pPr>
        <w:spacing w:after="160" w:line="300"/>
        <w:jc w:val="both"/>
      </w:pPr>
      <w:r>
        <w:rPr>
          <w:rFonts w:ascii="Times New Roman" w:cs="Times New Roman" w:eastAsia="Times New Roman" w:hAnsi="Times New Roman"/>
          <w:b w:val="false"/>
          <w:bCs w:val="false"/>
          <w:i w:val="false"/>
          <w:iCs w:val="false"/>
          <w:sz w:val="22"/>
          <w:szCs w:val="22"/>
        </w:rPr>
        <w:t xml:space="preserve">The second currency is active handling of disconfirming signals and their sources. The defense repertoire decomposes into five operations: deny the evidence; discredit the witness; rewrite the history; attack and reverse the moral roles; and manage witnesses preemptively (gaslighting, isolation, control of shared records; on gaslighting as a structural phenomenon see Sweet, 2019). The first four, run under acute threat, constitute DARVO with the history-revision step made explicit.</w:t>
      </w:r>
    </w:p>
    <w:p>
      <w:pPr>
        <w:spacing w:after="160" w:line="300"/>
        <w:jc w:val="both"/>
      </w:pPr>
      <w:r>
        <w:rPr>
          <w:rFonts w:ascii="Times New Roman" w:cs="Times New Roman" w:eastAsia="Times New Roman" w:hAnsi="Times New Roman"/>
          <w:b w:val="false"/>
          <w:bCs w:val="false"/>
          <w:i w:val="false"/>
          <w:iCs w:val="false"/>
          <w:sz w:val="22"/>
          <w:szCs w:val="22"/>
        </w:rPr>
        <w:t xml:space="preserve">The claim here is stated carefully. DARVO is proposed as a recurrent family of identity-protection operations, with selection and ordering shaped by whether earlier operations neutralize the contradiction. Whether the sequence is genuinely ordered, and how often stages are skipped, combined, or entered mid-sequence, is an empirical question for transition analysis, not an assumption. And the operations are not exclusive to narcissism: institutions, frightened children, and ordinary people under acute threat use some of them. The proposed discriminator is never the presence of the operations but their profile: frequency, rigidity across contexts, deployment at low stakes, insensitivity to the quality of the contradicting evidence, and persistence after the contradiction has been withdrawn.</w:t>
      </w:r>
    </w:p>
    <w:p>
      <w:pPr>
        <w:pStyle w:val="Heading1"/>
        <w:spacing w:after="160" w:before="280"/>
      </w:pPr>
      <w:r>
        <w:rPr>
          <w:rFonts w:ascii="Times New Roman" w:cs="Times New Roman" w:eastAsia="Times New Roman" w:hAnsi="Times New Roman"/>
          <w:b/>
          <w:bCs/>
          <w:color w:val="000000"/>
          <w:sz w:val="24"/>
          <w:szCs w:val="24"/>
        </w:rPr>
        <w:t xml:space="preserve">5. The corrigibility signature</w:t>
      </w:r>
    </w:p>
    <w:p>
      <w:pPr>
        <w:spacing w:after="160" w:line="300"/>
        <w:jc w:val="both"/>
      </w:pPr>
      <w:r>
        <w:rPr>
          <w:rFonts w:ascii="Times New Roman" w:cs="Times New Roman" w:eastAsia="Times New Roman" w:hAnsi="Times New Roman"/>
          <w:b w:val="false"/>
          <w:bCs w:val="false"/>
          <w:i w:val="false"/>
          <w:iCs w:val="false"/>
          <w:sz w:val="22"/>
          <w:szCs w:val="22"/>
        </w:rPr>
        <w:t xml:space="preserve">Ordinary self-serving cognition resists evidence imperfectly and yields to it eventually (Festinger, 1957; Kunda, 1990). The model's prediction is comparative and domain-bound: relative to controls, narcissistic pathology should show greater revision in response to status and interpersonal pressure and reduced revision in response to evidence, specifically within domains connected to a protected proposition. Outside those domains, revision behavior may be unremarkable. Nothing here claims a global inability to reason.</w:t>
      </w:r>
    </w:p>
    <w:p>
      <w:pPr>
        <w:spacing w:after="160" w:line="300"/>
        <w:jc w:val="both"/>
      </w:pPr>
      <w:r>
        <w:rPr>
          <w:rFonts w:ascii="Times New Roman" w:cs="Times New Roman" w:eastAsia="Times New Roman" w:hAnsi="Times New Roman"/>
          <w:b w:val="false"/>
          <w:bCs w:val="false"/>
          <w:i w:val="false"/>
          <w:iCs w:val="false"/>
          <w:sz w:val="22"/>
          <w:szCs w:val="22"/>
        </w:rPr>
        <w:t xml:space="preserve">Components of this signature are already in the literature: narcissists attend more to feedback's valence than its validity; grandiose narcissists rate negative feedback as less diagnostic, revise less after expert advice, remain confident after being shown wrong, and externalize blame for failures; and aggression after ego threat targets the source of the threat specifically rather than bystanders (Bushman &amp; Baumeister, 1998). The present contribution is not any of these observations but their assembly into a single signature: within the protected domain, the organization yields to pressure and resists evidence, which is the reverse of ordinary epistemic conduct. The signature also separates the model from a cynical-manipulator account: a pure manipulator updates privately while managing appearances; the prediction here is that the narcissistic organization does not perform the private update, because the proposition is identity rather than strategy.</w:t>
      </w:r>
    </w:p>
    <w:p>
      <w:pPr>
        <w:pStyle w:val="Heading1"/>
        <w:spacing w:after="160" w:before="280"/>
      </w:pPr>
      <w:r>
        <w:rPr>
          <w:rFonts w:ascii="Times New Roman" w:cs="Times New Roman" w:eastAsia="Times New Roman" w:hAnsi="Times New Roman"/>
          <w:b/>
          <w:bCs/>
          <w:color w:val="000000"/>
          <w:sz w:val="24"/>
          <w:szCs w:val="24"/>
        </w:rPr>
        <w:t xml:space="preserve">6. Predictions</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Decay, not tolerance. </w:t>
      </w:r>
      <w:r>
        <w:rPr>
          <w:rFonts w:ascii="Times New Roman" w:cs="Times New Roman" w:eastAsia="Times New Roman" w:hAnsi="Times New Roman"/>
          <w:sz w:val="22"/>
          <w:szCs w:val="22"/>
        </w:rPr>
        <w:t xml:space="preserve">In experience-sampling data, relief after supply events should decay rapidly and dose-insensitively (reassurance dynamics), rather than showing the escalating-dose pattern the addiction model predicts. The distinctive prediction is coupling: decay and relief should track the match between the event and the person's specific protected claims, not general reassurance dependence, which is what discriminant comparisons (anxiety, reassurance-seeking, rejection sensitivity, contingent self-worth) must rule out.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Diagnosticity over social cost. </w:t>
      </w:r>
      <w:r>
        <w:rPr>
          <w:rFonts w:ascii="Times New Roman" w:cs="Times New Roman" w:eastAsia="Times New Roman" w:hAnsi="Times New Roman"/>
          <w:sz w:val="22"/>
          <w:szCs w:val="22"/>
        </w:rPr>
        <w:t xml:space="preserve">Defense magnitude should scale with how much of the protected claim a contradiction would falsify if credited, not with the contradiction's rudeness or social cost. A low-status critic with documentation should provoke more defense than a high-status critic delivering an irrelevant insult.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Credibility-scaled discrediting. </w:t>
      </w:r>
      <w:r>
        <w:rPr>
          <w:rFonts w:ascii="Times New Roman" w:cs="Times New Roman" w:eastAsia="Times New Roman" w:hAnsi="Times New Roman"/>
          <w:sz w:val="22"/>
          <w:szCs w:val="22"/>
        </w:rPr>
        <w:t xml:space="preserve">The effort spent discrediting a disconfirming witness should increase with the witness's credibility, inverting ordinary epistemics, in which credible disagreement produces the most belief revision.</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Substitutability. </w:t>
      </w:r>
      <w:r>
        <w:rPr>
          <w:rFonts w:ascii="Times New Roman" w:cs="Times New Roman" w:eastAsia="Times New Roman" w:hAnsi="Times New Roman"/>
          <w:sz w:val="22"/>
          <w:szCs w:val="22"/>
        </w:rPr>
        <w:t xml:space="preserve">Supplies should be interchangeable when matched for confirmation content and non-substitutable when the operative clause changes; presentation switching (grandiose to vulnerable) should co-occur with a switch in which clause is under threat.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Self-affirmation boundary conditions. </w:t>
      </w:r>
      <w:r>
        <w:rPr>
          <w:rFonts w:ascii="Times New Roman" w:cs="Times New Roman" w:eastAsia="Times New Roman" w:hAnsi="Times New Roman"/>
          <w:sz w:val="22"/>
          <w:szCs w:val="22"/>
        </w:rPr>
        <w:t xml:space="preserve">The model originally predicted that affirmation in an unrelated domain (Steele, 1988) would fail to reduce narcissistic defense. Existing evidence already counts against the strong form of this prediction: Thomaes and colleagues (2009) found that a values-affirmation exercise reduced narcissistic aggression in a randomized field experiment with adolescents. The prediction therefore survives only as a boundary-condition test: the model expects affirmation's protective effect to weaken toward the pathological range, under contradiction that is diagnostic of a specific protected claim rather than generic insult, and on belief-revision and witness-discrediting outcomes rather than aggression. If affirmation attenuates defense under those conditions as well, this component of the model fails. The challenge is stated here deliberately, as a receipt.</w:t>
      </w:r>
    </w:p>
    <w:p>
      <w:pPr>
        <w:pStyle w:val="ListParagraph"/>
        <w:numPr>
          <w:ilvl w:val="0"/>
          <w:numId w:val="3"/>
        </w:numPr>
        <w:spacing w:after="140" w:line="300"/>
        <w:jc w:val="both"/>
      </w:pPr>
      <w:r>
        <w:rPr>
          <w:rFonts w:ascii="Times New Roman" w:cs="Times New Roman" w:eastAsia="Times New Roman" w:hAnsi="Times New Roman"/>
          <w:b/>
          <w:bCs/>
          <w:sz w:val="22"/>
          <w:szCs w:val="22"/>
        </w:rPr>
        <w:t xml:space="preserve">Contradiction over deprivation. </w:t>
      </w:r>
      <w:r>
        <w:rPr>
          <w:rFonts w:ascii="Times New Roman" w:cs="Times New Roman" w:eastAsia="Times New Roman" w:hAnsi="Times New Roman"/>
          <w:sz w:val="22"/>
          <w:szCs w:val="22"/>
        </w:rPr>
        <w:t xml:space="preserve">Given a choice, the organization should prefer deprivation (no audience) to exposure to credible correction; a starving perimeter is better than a breached one. Fuel models predict the opposite preference.</w:t>
      </w:r>
    </w:p>
    <w:p>
      <w:pPr>
        <w:pStyle w:val="Heading1"/>
        <w:spacing w:after="160" w:before="280"/>
      </w:pPr>
      <w:r>
        <w:rPr>
          <w:rFonts w:ascii="Times New Roman" w:cs="Times New Roman" w:eastAsia="Times New Roman" w:hAnsi="Times New Roman"/>
          <w:b/>
          <w:bCs/>
          <w:color w:val="000000"/>
          <w:sz w:val="24"/>
          <w:szCs w:val="24"/>
        </w:rPr>
        <w:t xml:space="preserve">7. Relation to existing accounts</w:t>
      </w:r>
    </w:p>
    <w:p>
      <w:pPr>
        <w:spacing w:after="160" w:line="300"/>
        <w:jc w:val="both"/>
      </w:pPr>
      <w:r>
        <w:rPr>
          <w:rFonts w:ascii="Times New Roman" w:cs="Times New Roman" w:eastAsia="Times New Roman" w:hAnsi="Times New Roman"/>
          <w:b w:val="false"/>
          <w:bCs w:val="false"/>
          <w:i w:val="false"/>
          <w:iCs w:val="false"/>
          <w:sz w:val="22"/>
          <w:szCs w:val="22"/>
        </w:rPr>
        <w:t xml:space="preserve">The model is a functional refinement of existing theory, not a replacement, and its components are individually precedented. Fenichel's original supplies were needed because internal structure was missing. Kohut's (1971) mirroring selfobject is a confirmation channel. Kernberg (1975) supplied the structural core of grandiosity as defense. Morf and Rhodewalt's (2001) dynamic self-regulatory model, the nearest neighbor, already treats narcissism as a system of strategies for maintaining a grandiose self; Back and colleagues' (2013) admiration and rivalry pathways already subordinate both charm and aggression to grandiosity maintenance; and Grapsas and colleagues' (2020) status-pursuit model already identifies what is most often pursued. The present proposal differs in specifying what is being maintained (a proposition exempted from revision, rather than esteem, status, or a self-image in general), what supply is (a perimeter report rather than a consumable), and what recovery would be (restored corrigibility rather than replenished esteem). Status, admiration, and esteem may all be genuinely pursued; the claim is that their value varies with their function in preserving revision-exempt propositions, and the predictions above are designed to test whether that functional layer does independent work.</w:t>
      </w:r>
    </w:p>
    <w:p>
      <w:pPr>
        <w:pStyle w:val="Heading1"/>
        <w:spacing w:after="160" w:before="280"/>
      </w:pPr>
      <w:r>
        <w:rPr>
          <w:rFonts w:ascii="Times New Roman" w:cs="Times New Roman" w:eastAsia="Times New Roman" w:hAnsi="Times New Roman"/>
          <w:b/>
          <w:bCs/>
          <w:color w:val="000000"/>
          <w:sz w:val="24"/>
          <w:szCs w:val="24"/>
        </w:rPr>
        <w:t xml:space="preserve">8. Clinical implication, stated as hypothesis</w:t>
      </w:r>
    </w:p>
    <w:p>
      <w:pPr>
        <w:spacing w:after="160" w:line="300"/>
        <w:jc w:val="both"/>
      </w:pPr>
      <w:r>
        <w:rPr>
          <w:rFonts w:ascii="Times New Roman" w:cs="Times New Roman" w:eastAsia="Times New Roman" w:hAnsi="Times New Roman"/>
          <w:b w:val="false"/>
          <w:bCs w:val="false"/>
          <w:i w:val="false"/>
          <w:iCs w:val="false"/>
          <w:sz w:val="22"/>
          <w:szCs w:val="22"/>
        </w:rPr>
        <w:t xml:space="preserve">If the model is correct, esteem support and supply management are palliative: the deficit is not esteem level but corrigibility, the capacity to let evidence revise a self-defining account. Therapy succeeds when correction becomes survivable, which requires shame tolerance first, because the barrier to revision is the forecast of annihilation. This also yields a prognostic reading of the alliance: the therapist is a high-credibility witness, so idealization while confirming and devaluation precisely when most accurate are what the model expects, and rupture timing becomes data. These are hypotheses for treatment research, not established findings. The outcome measure they imply is concrete: not how the person shines, but what they do when accurately, credibly, and kindly contradicted.</w:t>
      </w:r>
    </w:p>
    <w:p>
      <w:pPr>
        <w:pStyle w:val="Heading1"/>
        <w:spacing w:after="160" w:before="280"/>
      </w:pPr>
      <w:r>
        <w:rPr>
          <w:rFonts w:ascii="Times New Roman" w:cs="Times New Roman" w:eastAsia="Times New Roman" w:hAnsi="Times New Roman"/>
          <w:b/>
          <w:bCs/>
          <w:color w:val="000000"/>
          <w:sz w:val="24"/>
          <w:szCs w:val="24"/>
        </w:rPr>
        <w:t xml:space="preserve">9. Limitations</w:t>
      </w:r>
    </w:p>
    <w:p>
      <w:pPr>
        <w:spacing w:after="160" w:line="300"/>
        <w:jc w:val="both"/>
      </w:pPr>
      <w:r>
        <w:rPr>
          <w:rFonts w:ascii="Times New Roman" w:cs="Times New Roman" w:eastAsia="Times New Roman" w:hAnsi="Times New Roman"/>
          <w:b w:val="false"/>
          <w:bCs w:val="false"/>
          <w:i w:val="false"/>
          <w:iCs w:val="false"/>
          <w:sz w:val="22"/>
          <w:szCs w:val="22"/>
        </w:rPr>
        <w:t xml:space="preserve">This is a theoretical proposal. Its constructs require validation: the protected proposition must be identified per person (a structured elicitation interview is proposed in the companion research program), and self-report will be least reliable at exactly the point being measured, so behavioral, informant, and longitudinal validation are required. The hardest methodological problem is separating identity-diagnosticity from ordinary aversiveness in contradiction paradigms; if the two cannot be unconfounded, the model's central predictions cannot be tested cleanly. One prediction is already challenged by existing evidence and has been narrowed accordingly. Finally, the reconceptualization applies to narcissistic personality organization across the spectrum, with strong claims reserved for the pathological range; it does not claim that every self-serving bias is narcissism, and it does not authorize diagnosing individuals at a distance.</w:t>
      </w:r>
    </w:p>
    <w:p>
      <w:pPr>
        <w:pStyle w:val="Heading1"/>
        <w:spacing w:after="160" w:before="280"/>
      </w:pPr>
      <w:r>
        <w:rPr>
          <w:rFonts w:ascii="Times New Roman" w:cs="Times New Roman" w:eastAsia="Times New Roman" w:hAnsi="Times New Roman"/>
          <w:b/>
          <w:bCs/>
          <w:color w:val="000000"/>
          <w:sz w:val="24"/>
          <w:szCs w:val="24"/>
        </w:rPr>
        <w:t xml:space="preserve">10. Conclusion</w:t>
      </w:r>
    </w:p>
    <w:p>
      <w:pPr>
        <w:spacing w:after="160" w:line="300"/>
        <w:jc w:val="both"/>
      </w:pPr>
      <w:r>
        <w:rPr>
          <w:rFonts w:ascii="Times New Roman" w:cs="Times New Roman" w:eastAsia="Times New Roman" w:hAnsi="Times New Roman"/>
          <w:b w:val="false"/>
          <w:bCs w:val="false"/>
          <w:i w:val="false"/>
          <w:iCs w:val="false"/>
          <w:sz w:val="22"/>
          <w:szCs w:val="22"/>
        </w:rPr>
        <w:t xml:space="preserve">The supply construct survives, demoted and clarified: supply is real, sought, and harvested, but it is the perimeter report of a defended proposition, not the commodity of an appetite. Narcissism, on this account, is not an addiction to attention. It is an organized refusal of reality, and supply is whatever helps keep the refusal intact. The engine is a self-defining proposition that has been removed from reality's correction process. The belief is not allowed to lose; everything else follows from that.</w:t>
      </w:r>
    </w:p>
    <w:p>
      <w:pPr>
        <w:pStyle w:val="Heading1"/>
        <w:spacing w:after="160" w:before="280"/>
      </w:pPr>
      <w:r>
        <w:rPr>
          <w:rFonts w:ascii="Times New Roman" w:cs="Times New Roman" w:eastAsia="Times New Roman" w:hAnsi="Times New Roman"/>
          <w:b/>
          <w:bCs/>
          <w:color w:val="000000"/>
          <w:sz w:val="24"/>
          <w:szCs w:val="24"/>
        </w:rPr>
        <w:t xml:space="preserve">References</w:t>
      </w:r>
    </w:p>
    <w:p>
      <w:pPr>
        <w:spacing w:after="120" w:line="276"/>
        <w:ind w:left="720" w:hanging="720"/>
      </w:pPr>
      <w:r>
        <w:rPr>
          <w:rFonts w:ascii="Times New Roman" w:cs="Times New Roman" w:eastAsia="Times New Roman" w:hAnsi="Times New Roman"/>
          <w:sz w:val="22"/>
          <w:szCs w:val="22"/>
        </w:rPr>
        <w:t xml:space="preserve">Back, M. D., Küfner, A. C. P., Dufner, M., Gerlach, T. M., Rauthmann, J. F., &amp; Denissen, J. J. A. (2013). Narcissistic admiration and rivalry: Disentangling the bright and dark sides of narcissism. Journal of Personality and Social Psychology, 105(6), 1013-1037.</w:t>
      </w:r>
    </w:p>
    <w:p>
      <w:pPr>
        <w:spacing w:after="120" w:line="276"/>
        <w:ind w:left="720" w:hanging="720"/>
      </w:pPr>
      <w:r>
        <w:rPr>
          <w:rFonts w:ascii="Times New Roman" w:cs="Times New Roman" w:eastAsia="Times New Roman" w:hAnsi="Times New Roman"/>
          <w:sz w:val="22"/>
          <w:szCs w:val="22"/>
        </w:rPr>
        <w:t xml:space="preserve">Baumeister, R. F., &amp; Vohs, K. D. (2001). Narcissism as addiction to esteem. Psychological Inquiry, 12(4), 206-210.</w:t>
      </w:r>
    </w:p>
    <w:p>
      <w:pPr>
        <w:spacing w:after="120" w:line="276"/>
        <w:ind w:left="720" w:hanging="720"/>
      </w:pPr>
      <w:r>
        <w:rPr>
          <w:rFonts w:ascii="Times New Roman" w:cs="Times New Roman" w:eastAsia="Times New Roman" w:hAnsi="Times New Roman"/>
          <w:sz w:val="22"/>
          <w:szCs w:val="22"/>
        </w:rPr>
        <w:t xml:space="preserve">Bushman, B. J., &amp; Baumeister, R. F. (1998). Threatened egotism, narcissism, self-esteem, and direct and displaced aggression: Does self-love or self-hate lead to violence? Journal of Personality and Social Psychology, 75(1), 219-229.</w:t>
      </w:r>
    </w:p>
    <w:p>
      <w:pPr>
        <w:spacing w:after="120" w:line="276"/>
        <w:ind w:left="720" w:hanging="720"/>
      </w:pPr>
      <w:r>
        <w:rPr>
          <w:rFonts w:ascii="Times New Roman" w:cs="Times New Roman" w:eastAsia="Times New Roman" w:hAnsi="Times New Roman"/>
          <w:sz w:val="22"/>
          <w:szCs w:val="22"/>
        </w:rPr>
        <w:t xml:space="preserve">Fenichel, O. (1938). The drive to amass wealth. Psychoanalytic Quarterly, 7(1), 69-95.</w:t>
      </w:r>
    </w:p>
    <w:p>
      <w:pPr>
        <w:spacing w:after="120" w:line="276"/>
        <w:ind w:left="720" w:hanging="720"/>
      </w:pPr>
      <w:r>
        <w:rPr>
          <w:rFonts w:ascii="Times New Roman" w:cs="Times New Roman" w:eastAsia="Times New Roman" w:hAnsi="Times New Roman"/>
          <w:sz w:val="22"/>
          <w:szCs w:val="22"/>
        </w:rPr>
        <w:t xml:space="preserve">Fenichel, O. (1945). The psychoanalytic theory of neurosis. Norton.</w:t>
      </w:r>
    </w:p>
    <w:p>
      <w:pPr>
        <w:spacing w:after="120" w:line="276"/>
        <w:ind w:left="720" w:hanging="720"/>
      </w:pPr>
      <w:r>
        <w:rPr>
          <w:rFonts w:ascii="Times New Roman" w:cs="Times New Roman" w:eastAsia="Times New Roman" w:hAnsi="Times New Roman"/>
          <w:sz w:val="22"/>
          <w:szCs w:val="22"/>
        </w:rPr>
        <w:t xml:space="preserve">Festinger, L. (1957). A theory of cognitive dissonance. Stanford University Press.</w:t>
      </w:r>
    </w:p>
    <w:p>
      <w:pPr>
        <w:spacing w:after="120" w:line="276"/>
        <w:ind w:left="720" w:hanging="720"/>
      </w:pPr>
      <w:r>
        <w:rPr>
          <w:rFonts w:ascii="Times New Roman" w:cs="Times New Roman" w:eastAsia="Times New Roman" w:hAnsi="Times New Roman"/>
          <w:sz w:val="22"/>
          <w:szCs w:val="22"/>
        </w:rPr>
        <w:t xml:space="preserve">Freyd, J. J. (1997). Violations of power, adaptive blindness and betrayal trauma theory. Feminism &amp; Psychology, 7(1), 22-32.</w:t>
      </w:r>
    </w:p>
    <w:p>
      <w:pPr>
        <w:spacing w:after="120" w:line="276"/>
        <w:ind w:left="720" w:hanging="720"/>
      </w:pPr>
      <w:r>
        <w:rPr>
          <w:rFonts w:ascii="Times New Roman" w:cs="Times New Roman" w:eastAsia="Times New Roman" w:hAnsi="Times New Roman"/>
          <w:sz w:val="22"/>
          <w:szCs w:val="22"/>
        </w:rPr>
        <w:t xml:space="preserve">Grapsas, S., Brummelman, E., Back, M. D., &amp; Denissen, J. J. A. (2020). The "why" and "how" of narcissism: A process model of narcissistic status pursuit. Perspectives on Psychological Science, 15(1), 150-172.</w:t>
      </w:r>
    </w:p>
    <w:p>
      <w:pPr>
        <w:spacing w:after="120" w:line="276"/>
        <w:ind w:left="720" w:hanging="720"/>
      </w:pPr>
      <w:r>
        <w:rPr>
          <w:rFonts w:ascii="Times New Roman" w:cs="Times New Roman" w:eastAsia="Times New Roman" w:hAnsi="Times New Roman"/>
          <w:sz w:val="22"/>
          <w:szCs w:val="22"/>
        </w:rPr>
        <w:t xml:space="preserve">Harsey, S., &amp; Freyd, J. J. (2020). Deny, attack, and reverse victim and offender (DARVO): What is the influence on perceived perpetrator and victim credibility? Journal of Aggression, Maltreatment &amp; Trauma, 29(8), 897-916.</w:t>
      </w:r>
    </w:p>
    <w:p>
      <w:pPr>
        <w:spacing w:after="120" w:line="276"/>
        <w:ind w:left="720" w:hanging="720"/>
      </w:pPr>
      <w:r>
        <w:rPr>
          <w:rFonts w:ascii="Times New Roman" w:cs="Times New Roman" w:eastAsia="Times New Roman" w:hAnsi="Times New Roman"/>
          <w:sz w:val="22"/>
          <w:szCs w:val="22"/>
        </w:rPr>
        <w:t xml:space="preserve">Kernberg, O. F. (1975). Borderline conditions and pathological narcissism. Jason Aronson.</w:t>
      </w:r>
    </w:p>
    <w:p>
      <w:pPr>
        <w:spacing w:after="120" w:line="276"/>
        <w:ind w:left="720" w:hanging="720"/>
      </w:pPr>
      <w:r>
        <w:rPr>
          <w:rFonts w:ascii="Times New Roman" w:cs="Times New Roman" w:eastAsia="Times New Roman" w:hAnsi="Times New Roman"/>
          <w:sz w:val="22"/>
          <w:szCs w:val="22"/>
        </w:rPr>
        <w:t xml:space="preserve">Kohut, H. (1971). The analysis of the self. International Universities Press.</w:t>
      </w:r>
    </w:p>
    <w:p>
      <w:pPr>
        <w:spacing w:after="120" w:line="276"/>
        <w:ind w:left="720" w:hanging="720"/>
      </w:pPr>
      <w:r>
        <w:rPr>
          <w:rFonts w:ascii="Times New Roman" w:cs="Times New Roman" w:eastAsia="Times New Roman" w:hAnsi="Times New Roman"/>
          <w:sz w:val="22"/>
          <w:szCs w:val="22"/>
        </w:rPr>
        <w:t xml:space="preserve">Krizan, Z., &amp; Herlache, A. D. (2018). The narcissism spectrum model: A synthetic view of narcissistic personality. Personality and Social Psychology Review, 22(1), 3-31.</w:t>
      </w:r>
    </w:p>
    <w:p>
      <w:pPr>
        <w:spacing w:after="120" w:line="276"/>
        <w:ind w:left="720" w:hanging="720"/>
      </w:pPr>
      <w:r>
        <w:rPr>
          <w:rFonts w:ascii="Times New Roman" w:cs="Times New Roman" w:eastAsia="Times New Roman" w:hAnsi="Times New Roman"/>
          <w:sz w:val="22"/>
          <w:szCs w:val="22"/>
        </w:rPr>
        <w:t xml:space="preserve">Kunda, Z. (1990). The case for motivated reasoning. Psychological Bulletin, 108(3), 480-498.</w:t>
      </w:r>
    </w:p>
    <w:p>
      <w:pPr>
        <w:spacing w:after="120" w:line="276"/>
        <w:ind w:left="720" w:hanging="720"/>
      </w:pPr>
      <w:r>
        <w:rPr>
          <w:rFonts w:ascii="Times New Roman" w:cs="Times New Roman" w:eastAsia="Times New Roman" w:hAnsi="Times New Roman"/>
          <w:sz w:val="22"/>
          <w:szCs w:val="22"/>
        </w:rPr>
        <w:t xml:space="preserve">Morf, C. C., &amp; Rhodewalt, F. (2001). Unraveling the paradoxes of narcissism: A dynamic self-regulatory processing model. Psychological Inquiry, 12(4), 177-196.</w:t>
      </w:r>
    </w:p>
    <w:p>
      <w:pPr>
        <w:spacing w:after="120" w:line="276"/>
        <w:ind w:left="720" w:hanging="720"/>
      </w:pPr>
      <w:r>
        <w:rPr>
          <w:rFonts w:ascii="Times New Roman" w:cs="Times New Roman" w:eastAsia="Times New Roman" w:hAnsi="Times New Roman"/>
          <w:sz w:val="22"/>
          <w:szCs w:val="22"/>
        </w:rPr>
        <w:t xml:space="preserve">Pincus, A. L., Ansell, E. B., Pimentel, C. A., Cain, N. M., Wright, A. G. C., &amp; Levy, K. N. (2009). Initial construction and validation of the Pathological Narcissism Inventory. Psychological Assessment, 21(3), 365-379.</w:t>
      </w:r>
    </w:p>
    <w:p>
      <w:pPr>
        <w:spacing w:after="120" w:line="276"/>
        <w:ind w:left="720" w:hanging="720"/>
      </w:pPr>
      <w:r>
        <w:rPr>
          <w:rFonts w:ascii="Times New Roman" w:cs="Times New Roman" w:eastAsia="Times New Roman" w:hAnsi="Times New Roman"/>
          <w:sz w:val="22"/>
          <w:szCs w:val="22"/>
        </w:rPr>
        <w:t xml:space="preserve">Steele, C. M. (1988). The psychology of self-affirmation: Sustaining the integrity of the self. Advances in Experimental Social Psychology, 21, 261-302.</w:t>
      </w:r>
    </w:p>
    <w:p>
      <w:pPr>
        <w:spacing w:after="120" w:line="276"/>
        <w:ind w:left="720" w:hanging="720"/>
      </w:pPr>
      <w:r>
        <w:rPr>
          <w:rFonts w:ascii="Times New Roman" w:cs="Times New Roman" w:eastAsia="Times New Roman" w:hAnsi="Times New Roman"/>
          <w:sz w:val="22"/>
          <w:szCs w:val="22"/>
        </w:rPr>
        <w:t xml:space="preserve">Sweet, P. L. (2019). The sociology of gaslighting. American Sociological Review, 84(5), 851-875.</w:t>
      </w:r>
    </w:p>
    <w:p>
      <w:pPr>
        <w:spacing w:after="120" w:line="276"/>
        <w:ind w:left="720" w:hanging="720"/>
      </w:pPr>
      <w:r>
        <w:rPr>
          <w:rFonts w:ascii="Times New Roman" w:cs="Times New Roman" w:eastAsia="Times New Roman" w:hAnsi="Times New Roman"/>
          <w:sz w:val="22"/>
          <w:szCs w:val="22"/>
        </w:rPr>
        <w:t xml:space="preserve">Thomaes, S., Bushman, B. J., Orobio de Castro, B., Cohen, G. L., &amp; Denissen, J. J. A. (2009). Reducing narcissistic aggression by buttressing self-esteem: An experimental field study. Psychological Science, 20(12), 1536-1542.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76" w:hanging="360"/>
      </w:pPr>
    </w:lvl>
  </w:abstractNum>
  <w:abstractNum w:abstractNumId="3"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2026-07-26T23:30:54.965Z</dcterms:created>
  <dcterms:modified xsi:type="dcterms:W3CDTF">2026-07-26T23:30:54.965Z</dcterms:modified>
</cp:coreProperties>
</file>

<file path=docProps/custom.xml><?xml version="1.0" encoding="utf-8"?>
<Properties xmlns="http://schemas.openxmlformats.org/officeDocument/2006/custom-properties" xmlns:vt="http://schemas.openxmlformats.org/officeDocument/2006/docPropsVTypes"/>
</file>