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00"/>
        <w:jc w:val="center"/>
      </w:pPr>
      <w:r>
        <w:rPr>
          <w:rFonts w:ascii="Georgia" w:cs="Georgia" w:eastAsia="Georgia" w:hAnsi="Georgia"/>
          <w:b/>
          <w:bCs/>
          <w:color w:val="1a1a1a"/>
          <w:sz w:val="36"/>
          <w:szCs w:val="36"/>
        </w:rPr>
        <w:t xml:space="preserve">RESEARCH PROPOSAL</w:t>
      </w:r>
    </w:p>
    <w:p>
      <w:pPr>
        <w:spacing w:after="60"/>
        <w:jc w:val="center"/>
      </w:pPr>
      <w:r>
        <w:rPr>
          <w:rFonts w:ascii="Georgia" w:cs="Georgia" w:eastAsia="Georgia" w:hAnsi="Georgia"/>
          <w:i/>
          <w:iCs/>
          <w:color w:val="555555"/>
          <w:sz w:val="24"/>
          <w:szCs w:val="24"/>
        </w:rPr>
        <w:t xml:space="preserve">Statement of Intent for Graduate Studies</w:t>
      </w:r>
    </w:p>
    <w:p>
      <w:pPr>
        <w:spacing w:after="0"/>
      </w:pPr>
    </w:p>
    <w:p>
      <w:pPr>
        <w:spacing w:after="40"/>
        <w:jc w:val="center"/>
      </w:pPr>
      <w:r>
        <w:rPr>
          <w:rFonts w:ascii="Georgia" w:cs="Georgia" w:eastAsia="Georgia" w:hAnsi="Georgia"/>
          <w:b/>
          <w:bCs/>
          <w:sz w:val="30"/>
          <w:szCs w:val="30"/>
        </w:rPr>
        <w:t xml:space="preserve">Empathy Is Not a Wound:</w:t>
      </w:r>
    </w:p>
    <w:p>
      <w:pPr>
        <w:spacing w:after="40"/>
        <w:jc w:val="center"/>
      </w:pPr>
      <w:r>
        <w:rPr>
          <w:rFonts w:ascii="Georgia" w:cs="Georgia" w:eastAsia="Georgia" w:hAnsi="Georgia"/>
          <w:i/>
          <w:iCs/>
          <w:sz w:val="26"/>
          <w:szCs w:val="26"/>
        </w:rPr>
        <w:t xml:space="preserve">Structural Ethics, Empirical Evidence, and the False Equivalence</w:t>
      </w:r>
    </w:p>
    <w:p>
      <w:pPr>
        <w:spacing w:after="40"/>
        <w:jc w:val="center"/>
      </w:pPr>
      <w:r>
        <w:rPr>
          <w:rFonts w:ascii="Georgia" w:cs="Georgia" w:eastAsia="Georgia" w:hAnsi="Georgia"/>
          <w:i/>
          <w:iCs/>
          <w:sz w:val="26"/>
          <w:szCs w:val="26"/>
        </w:rPr>
        <w:t xml:space="preserve">Between Empathic and Narcissistic Patterns</w:t>
      </w:r>
    </w:p>
    <w:p>
      <w:pPr>
        <w:spacing w:after="0"/>
      </w:pPr>
    </w:p>
    <w:p>
      <w:pPr>
        <w:pBdr>
          <w:top w:val="single" w:color="CCCCCC" w:sz="1" w:space="8"/>
        </w:pBdr>
        <w:spacing w:after="0"/>
        <w:jc w:val="center"/>
      </w:pPr>
    </w:p>
    <w:p>
      <w:pPr>
        <w:spacing w:after="40"/>
        <w:jc w:val="center"/>
      </w:pPr>
      <w:r>
        <w:rPr>
          <w:rFonts w:ascii="Georgia" w:cs="Georgia" w:eastAsia="Georgia" w:hAnsi="Georgia"/>
          <w:b/>
          <w:bCs/>
          <w:sz w:val="24"/>
          <w:szCs w:val="24"/>
        </w:rPr>
        <w:t xml:space="preserve">Ashman Roonz</w:t>
      </w:r>
    </w:p>
    <w:p>
      <w:pPr>
        <w:spacing w:after="40"/>
        <w:jc w:val="center"/>
      </w:pPr>
      <w:r>
        <w:rPr>
          <w:rFonts w:ascii="Georgia" w:cs="Georgia" w:eastAsia="Georgia" w:hAnsi="Georgia"/>
          <w:color w:val="444444"/>
          <w:sz w:val="22"/>
          <w:szCs w:val="22"/>
        </w:rPr>
        <w:t xml:space="preserve">BSc, Philosophy and Psychology (Double Major)</w:t>
      </w:r>
    </w:p>
    <w:p>
      <w:pPr>
        <w:spacing w:after="40"/>
        <w:jc w:val="center"/>
      </w:pPr>
      <w:r>
        <w:rPr>
          <w:rFonts w:ascii="Georgia" w:cs="Georgia" w:eastAsia="Georgia" w:hAnsi="Georgia"/>
          <w:color w:val="444444"/>
          <w:sz w:val="22"/>
          <w:szCs w:val="22"/>
        </w:rPr>
        <w:t xml:space="preserve">University of Toronto, 2004–2008</w:t>
      </w:r>
    </w:p>
    <w:p>
      <w:pPr>
        <w:spacing w:after="40"/>
        <w:jc w:val="center"/>
      </w:pPr>
      <w:r>
        <w:rPr>
          <w:rFonts w:ascii="Georgia" w:cs="Georgia" w:eastAsia="Georgia" w:hAnsi="Georgia"/>
          <w:color w:val="444444"/>
          <w:sz w:val="22"/>
          <w:szCs w:val="22"/>
        </w:rPr>
        <w:t xml:space="preserve">Diploma, Police Foundations</w:t>
      </w:r>
    </w:p>
    <w:p>
      <w:pPr>
        <w:spacing w:after="200"/>
        <w:jc w:val="center"/>
      </w:pPr>
      <w:r>
        <w:rPr>
          <w:rFonts w:ascii="Georgia" w:cs="Georgia" w:eastAsia="Georgia" w:hAnsi="Georgia"/>
          <w:color w:val="444444"/>
          <w:sz w:val="22"/>
          <w:szCs w:val="22"/>
        </w:rPr>
        <w:t xml:space="preserve">Seneca College, 2001–2003</w:t>
      </w:r>
    </w:p>
    <w:p>
      <w:pPr>
        <w:spacing w:after="40"/>
        <w:jc w:val="center"/>
      </w:pPr>
      <w:r>
        <w:rPr>
          <w:rFonts w:ascii="Georgia" w:cs="Georgia" w:eastAsia="Georgia" w:hAnsi="Georgia"/>
          <w:color w:val="444444"/>
          <w:sz w:val="22"/>
          <w:szCs w:val="22"/>
        </w:rPr>
        <w:t xml:space="preserve">ashroney@gmail.com</w:t>
      </w:r>
    </w:p>
    <w:p>
      <w:pPr>
        <w:spacing w:after="200"/>
        <w:jc w:val="center"/>
      </w:pPr>
      <w:r>
        <w:rPr>
          <w:rFonts w:ascii="Georgia" w:cs="Georgia" w:eastAsia="Georgia" w:hAnsi="Georgia"/>
          <w:color w:val="444444"/>
          <w:sz w:val="22"/>
          <w:szCs w:val="22"/>
        </w:rPr>
        <w:t xml:space="preserve">March 2026</w:t>
      </w:r>
    </w:p>
    <w:p>
      <w:r>
        <w:br w:type="page"/>
      </w:r>
    </w:p>
    <w:p>
      <w:pPr>
        <w:pStyle w:val="Heading1"/>
      </w:pPr>
      <w:r>
        <w:t xml:space="preserve">1. Research Question</w:t>
      </w:r>
    </w:p>
    <w:p>
      <w:pPr>
        <w:spacing w:after="200"/>
      </w:pPr>
      <w:r>
        <w:t xml:space="preserve">How does the popular narrative that empaths and narcissists represent “the same wound expressed in different directions” function in online discourse, and what are its empirical, ethical, and structural consequences for survivors of narcissistic abuse?</w:t>
      </w:r>
    </w:p>
    <w:p>
      <w:pPr>
        <w:spacing w:after="200"/>
      </w:pPr>
      <w:r>
        <w:t xml:space="preserve">This question sits at the intersection of three disciplines: </w:t>
      </w:r>
      <w:r>
        <w:rPr>
          <w:i/>
          <w:iCs/>
        </w:rPr>
        <w:t xml:space="preserve">developmental psychology and social neuroscience</w:t>
      </w:r>
      <w:r>
        <w:t xml:space="preserve"> (what empathy actually is), </w:t>
      </w:r>
      <w:r>
        <w:rPr>
          <w:i/>
          <w:iCs/>
        </w:rPr>
        <w:t xml:space="preserve">clinical psychology and coercive control research</w:t>
      </w:r>
      <w:r>
        <w:t xml:space="preserve"> (what narcissistic patterns actually do), and </w:t>
      </w:r>
      <w:r>
        <w:rPr>
          <w:i/>
          <w:iCs/>
        </w:rPr>
        <w:t xml:space="preserve">applied ethics</w:t>
      </w:r>
      <w:r>
        <w:t xml:space="preserve"> (how to distinguish genuine insight from performed insight in public discourse). I have developed a structural framework that bridges all three, and I am seeking a supervised program to formalize and empirically validate it.</w:t>
      </w:r>
    </w:p>
    <w:p>
      <w:pPr>
        <w:pStyle w:val="Heading1"/>
      </w:pPr>
      <w:r>
        <w:t xml:space="preserve">2. Background and Motivation</w:t>
      </w:r>
    </w:p>
    <w:p>
      <w:pPr>
        <w:spacing w:after="200"/>
      </w:pPr>
      <w:r>
        <w:t xml:space="preserve">My academic foundation is interdisciplinary by design. My BSc from the University of Toronto (2004–2008) combined a double major in philosophy and psychology, giving me training in both formal reasoning (logic, epistemology, philosophy of mind, ethics) and empirical methodology (developmental psychology, cognitive science, research methods, statistical analysis). My earlier diploma in Police Foundations (Seneca College, 2001–2003) grounded me in applied contexts: interviewing, behavioural observation, de-escalation, and the real-world consequences of how people read (and misread) each other.</w:t>
      </w:r>
    </w:p>
    <w:p>
      <w:pPr>
        <w:spacing w:after="200"/>
      </w:pPr>
      <w:r>
        <w:t xml:space="preserve">Since completing my undergraduate degree, I have spent over fifteen years engaged in independent research at the intersection of ethics, relational dynamics, and structural analysis. This work has culminated in the Circumpunct framework: a formal ethical model derived from geometric first principles that generates testable diagnostic criteria for distinguishing lived ethics from performed ethics. The framework has been developed across a substantial body of published work (fractalreality.ca), including dedicated analyses of narcissistic abuse dynamics, ethical reasoning, and the structural mechanics of deception.</w:t>
      </w:r>
    </w:p>
    <w:p>
      <w:pPr>
        <w:spacing w:after="200"/>
      </w:pPr>
      <w:r>
        <w:t xml:space="preserve">My motivation for pursuing graduate study is specific: I have built a theoretical instrument that works in applied contexts (as demonstrated in the preliminary case study described below), and I want to subject it to the formal methodological scrutiny, empirical testing, and peer review that a supervised research program provides. The framework needs to be stress-tested, not just applied.</w:t>
      </w:r>
    </w:p>
    <w:p>
      <w:pPr>
        <w:pStyle w:val="Heading1"/>
      </w:pPr>
      <w:r>
        <w:t xml:space="preserve">3. Preliminary Work and Existing Framework</w:t>
      </w:r>
    </w:p>
    <w:p>
      <w:pPr>
        <w:pStyle w:val="Heading2"/>
      </w:pPr>
      <w:r>
        <w:t xml:space="preserve">3.1 The Circumpunct Ethics Framework</w:t>
      </w:r>
    </w:p>
    <w:p>
      <w:pPr>
        <w:spacing w:after="200"/>
      </w:pPr>
      <w:r>
        <w:t xml:space="preserve">The Circumpunct framework derives its ethical structure from a minimal geometric image: the circumpunct (a point within a circle), comprising three irreducible parts: a boundary that holds and gates exchange, a center that sees and persists, and a field between them that connects. From this structure, four ethical pillars emerge: Good (boundary, consent, care), Right (field, evidence, cause-and-effect), True (center, coherence, identity), and Agreement (whole, resonance, mutual recognition).</w:t>
      </w:r>
    </w:p>
    <w:p>
      <w:pPr>
        <w:spacing w:after="200"/>
      </w:pPr>
      <w:r>
        <w:t xml:space="preserve">Each pillar has a corresponding living quality (virtue) that keeps it functional: Plasticity keeps Good alive, Access keeps Right alive, Curiosity keeps True alive, and Validation keeps Agreement alive. The framework’s central insight is that without these living qualities, every ethical principle inverts into its own opposite: care becomes control, evidence becomes confirmation bias, truth becomes projection, and agreement becomes compliance. The form persists while the function dies. The framework terms this inversion the “Noble Lie”: ethics performed without the qualities that make ethics real.</w:t>
      </w:r>
    </w:p>
    <w:p>
      <w:pPr>
        <w:spacing w:after="200"/>
      </w:pPr>
      <w:r>
        <w:t xml:space="preserve">This generates a diagnostic instrument with specific, observable criteria for detecting performed ethics in real-time discourse, which I have documented and applied extensively.</w:t>
      </w:r>
    </w:p>
    <w:p>
      <w:pPr>
        <w:pStyle w:val="Heading2"/>
      </w:pPr>
      <w:r>
        <w:t xml:space="preserve">3.2 Applied Case Study</w:t>
      </w:r>
    </w:p>
    <w:p>
      <w:pPr>
        <w:spacing w:after="200"/>
      </w:pPr>
      <w:r>
        <w:t xml:space="preserve">In March 2026, I deployed the framework against a viral social media post claiming that empaths and narcissists are “the same wound expressed in different directions.” The analysis identified the post as a Noble Lie (ethical form intact, ethical function inverted) across all four pillars, with specific diagnostic failures in plasticity (rigid interpretive frame imposed), access (evidence cherry-picked), curiosity (others’ experience declared rather than received), and validation (agreement demanded through rhetorical framing rather than discovered).</w:t>
      </w:r>
    </w:p>
    <w:p>
      <w:pPr>
        <w:spacing w:after="200"/>
      </w:pPr>
      <w:r>
        <w:t xml:space="preserve">When challenged publicly, the original author responded with a rebuttal that the framework also predicted and diagnosed: retrospective precision (defending a more careful position than the one published), level-shifting (claiming to address “origin” while bracketing “outcome” to dissolve accountability), and silencing through categorization (labeling the critique as “moral positioning” to dismiss it without engaging its content). Following the analysis of the rebuttal, the original author deleted her post.</w:t>
      </w:r>
    </w:p>
    <w:p>
      <w:pPr>
        <w:spacing w:after="200"/>
      </w:pPr>
      <w:r>
        <w:t xml:space="preserve">Concurrently, an independent deep-research review was conducted using the Circumpunct framework as an analytical basis, drawing on peer-reviewed literature in developmental psychology, social neuroscience, clinical psychology, and coercive control research. The review corroborated every major claim: empathy’s biological foundations (heritable, present in neonates), the asymmetric empathy profiles in narcissistic personality disorder, the structural alignment of the “same wound” narrative with DARVO and victim-blaming mechanisms, and the framework’s capacity to formalize distinctions that existing models describe but do not operationalize as diagnostic criteria.</w:t>
      </w:r>
    </w:p>
    <w:p>
      <w:pPr>
        <w:pStyle w:val="Heading2"/>
      </w:pPr>
      <w:r>
        <w:t xml:space="preserve">3.3 Secondary Case Study: Sustained Noble Lie Patterns in Online Wellness Content</w:t>
      </w:r>
    </w:p>
    <w:p>
      <w:pPr>
        <w:spacing w:after="200"/>
      </w:pPr>
      <w:r>
        <w:t xml:space="preserve">A second application of the framework was conducted in March 2026 against a public Instagram account (@globalmoleculeawakening, approximately 12,200 followers) operating under the category “Education” and describing itself as “Redefining spiritual psychology” and “Experience based Awakening Guidance.” The account monetizes its content through paid one-on-one guidance sessions. Unlike the single-post analysis in Section 3.2, this case study examines a sustained content pattern across multiple posts, revealing how the Noble Lie operates not as an isolated rhetorical failure but as a systematic, monetized content strategy.</w:t>
      </w:r>
    </w:p>
    <w:p>
      <w:pPr>
        <w:spacing w:after="200"/>
      </w:pPr>
      <w:r>
        <w:t xml:space="preserve">The account’s content grid displays a consistent pattern of delegitimizing survivor language. Representative post titles include: “You’re Gaslighting Me” (presented in quotation marks to frame the claim as performative rather than descriptive), “The Empath’s Ego” (reframing empathic distress as narcissistic self-concern), “My Partner Still Doesn’t Validate Me” (accompanied by laughing emojis to mock the need for relational validation), and “My Partner’s Been ‘Abusing’ Me” (with “abusing” placed in scare quotes to signal that the experience is fabricated or exaggerated). One video is captioned: “‘They gaslit me’ is an unconscious projection,” which pre-emptively recategorizes any naming of gaslighting as evidence of the victim’s own pathology.</w:t>
      </w:r>
    </w:p>
    <w:p>
      <w:pPr>
        <w:spacing w:after="200"/>
      </w:pPr>
      <w:r>
        <w:t xml:space="preserve">A representative long-form post from the account states that “toxic relationships are actually initiations,” that “no one is being ‘abused,’ least not being ‘gaslit,’” and that survivors who pursue legal protection are engaged in ego defence: “people [will] take people to court over making serious claims, all to keep the wounds safe and remain the good, correct, superior, and better person which is the ego doing its magic.” The post concludes by framing the narcissistic abuser as the agent of the victim’s spiritual growth, summarized elsewhere on the account as “narcissists are our awakening.”</w:t>
      </w:r>
    </w:p>
    <w:p>
      <w:pPr>
        <w:spacing w:after="200"/>
      </w:pPr>
      <w:r>
        <w:t xml:space="preserve">Applying the four-pillar diagnostic, the account’s content displays comprehensive Noble Lie characteristics. Plasticity failure: a rigid interpretive frame is imposed in which all relational distress is mutual projection, with no structural capacity to accommodate the possibility of asymmetric harm. Access failure: the account selectively deploys the psychological concept of projection while systematically excluding the coercive control literature, betrayal trauma theory, and the empirical research on narcissistic empathy deficits. Curiosity failure: others’ lived experience of abuse is declared to be something other than what it is (“that is their stuff”), rather than received and examined on its own terms. Validation failure: agreement is coerced through rhetorical shaming (“that’s the bit no one wants to face”) and through the implied framework that disagreement itself constitutes evidence of the disagreer’s unresolved wounds.</w:t>
      </w:r>
    </w:p>
    <w:p>
      <w:pPr>
        <w:spacing w:after="200"/>
      </w:pPr>
      <w:r>
        <w:t xml:space="preserve">This case study extends the findings of Section 3.2 in two significant respects. First, it demonstrates the framework’s capacity to diagnose Noble Lie patterns across a body of content rather than a single post, identifying the structural consistency that distinguishes a systematic content strategy from an isolated rhetorical misstep. Second, the monetization pipeline (free content that delegitimizes survivor experience, funnelling audiences toward paid one-on-one sessions) introduces an additional ethical dimension: the Noble Lie is not merely performed but commercialized, creating a financial incentive structure that rewards the continued production of content structurally aligned with DARVO and victim-blaming mechanisms. The account’s core proposition, that the narcissist is the victim’s healer, inverts the abuser-victim relationship in precisely the manner the Circumpunct framework predicts when ethical form is preserved while ethical function is killed.</w:t>
      </w:r>
    </w:p>
    <w:p>
      <w:pPr>
        <w:pStyle w:val="Heading2"/>
      </w:pPr>
      <w:r>
        <w:t xml:space="preserve">3.4 Tertiary Case Study: The Commercialized Reconnection Pipeline</w:t>
      </w:r>
    </w:p>
    <w:p>
      <w:pPr>
        <w:spacing w:after="200"/>
      </w:pPr>
      <w:r>
        <w:t xml:space="preserve">A third application of the framework was conducted in March 2026 against Relatio (getrelatio.com), a subscription-based relationship app with over one million users, a 4.5 Trustpilot rating across 724 reviews, and paid plans ranging from $7.99 weekly to $49.99 annually. The app is registered in Limassol, Cyprus and markets itself under the tagline “Redefine your relationship.” Its Instagram account (@getrelatio, approximately 26,000 followers) states in its bio: “We know how to Get Your Ex Back.”</w:t>
      </w:r>
    </w:p>
    <w:p>
      <w:pPr>
        <w:spacing w:after="200"/>
      </w:pPr>
      <w:r>
        <w:t xml:space="preserve">Unlike the Instagram account analysed in Section 3.3, which overtly mocks survivor language, Relatio presents a polished, wellness-coded interface. Its website claims “consent-first reconnection” and states it “never contacts anyone on your behalf.” However, analysis of the account’s public content reveals a structural problem the Circumpunct framework identifies precisely: the content never screens for abuse. Representative posts include: “How to get your EX BACK” (a four-step reconnection plan), “How to Flirt With an Ex to Get Them Back,” “She already knows you want another chance,” and “‘No contact’ didn’t work until I started doing it right” (accompanied by a scripted re-engagement message). The content presupposes that the breakup was a mistake to be reversed, never a boundary to be respected.</w:t>
      </w:r>
    </w:p>
    <w:p>
      <w:pPr>
        <w:spacing w:after="200"/>
      </w:pPr>
      <w:r>
        <w:t xml:space="preserve">The framework identifies Relatio as operating a dual-harm structure. For the person whose partner left an abusive relationship, the app functions as a hoover toolkit: it provides scripts, timing strategies, and a step-by-step reconnection plan to breach the boundary someone set by leaving. “No contact” (which in the coercive control literature is a protective boundary set by the person escaping harm) is reframed as a strategy to be optimized. For the person who was discarded after being abused, the app functions as a hope machine that maintains emotional tethering to the person who harmed them, selling the idea that the relationship can be repaired if the victim works on themselves. In both cases, the app occupies the abuse cycle itself, automated and monetized, giving abusers tools to re-establish access and giving victims reasons to keep the door open.</w:t>
      </w:r>
    </w:p>
    <w:p>
      <w:pPr>
        <w:spacing w:after="200"/>
      </w:pPr>
      <w:r>
        <w:t xml:space="preserve">Applying the four-pillar diagnostic: Plasticity failure occurs because the app’s entire framework presupposes that reconnection is the goal, with no structural capacity to accommodate the possibility that the breakup was an act of self-preservation. Access failure occurs because the reconnection methodology draws selectively on attachment theory and communication research while systematically excluding the coercive control literature, betrayal trauma theory, and the empirical research on post-separation abuse. Curiosity failure occurs because the app declares what the breakup means (a problem to be solved) rather than receiving what it might actually be (a boundary to be honoured). Validation failure occurs because the “consent-first” claim on the website is contradicted by content that presumes the other person’s willingness: “She already knows you want another chance” is presumption, not consent.</w:t>
      </w:r>
    </w:p>
    <w:p>
      <w:pPr>
        <w:spacing w:after="200"/>
      </w:pPr>
      <w:r>
        <w:t xml:space="preserve">This case study extends the analytical scope of the research program in two respects. First, it demonstrates the framework’s capacity to diagnose Noble Lie characteristics in a commercially scaled product (one million users, venture-grade metrics) rather than individual content creators, establishing that the problem is not limited to fringe accounts but is embedded in mainstream wellness technology. Second, it introduces a structural category absent from the previous case studies: the Noble Lie as platform infrastructure, where the ethical failure is not in the content creator’s rhetoric but in the product architecture itself, which serves both sides of the abuse dynamic without distinguishing between them.</w:t>
      </w:r>
    </w:p>
    <w:p>
      <w:pPr>
        <w:pStyle w:val="Heading2"/>
      </w:pPr>
      <w:r>
        <w:t xml:space="preserve">3.5 Published Body of Work</w:t>
      </w:r>
    </w:p>
    <w:p>
      <w:pPr>
        <w:spacing w:after="200"/>
      </w:pPr>
      <w:r>
        <w:t xml:space="preserve">The full body of Circumpunct research is published at </w:t>
      </w:r>
      <w:r>
        <w:rPr>
          <w:b/>
          <w:bCs/>
        </w:rPr>
        <w:t xml:space="preserve">fractalreality.ca</w:t>
      </w:r>
      <w:r>
        <w:t xml:space="preserve"> and includes dedicated treatments of: the ethical framework and virtues model; the Circumpunct theory of narcissism (formalizing inflation and severance as complementary structural errors); narcissistic abuse dynamics mapped to framework violations (gaslighting, DARVO, love bombing, devaluation, and other tactics analyzed pillar by pillar); the Noble Lie virus as a transmissible pattern that weaponizes functional love against resonant love; and the structural conditions for restoration versus the conditions that perpetuate damage.</w:t>
      </w:r>
    </w:p>
    <w:p>
      <w:pPr>
        <w:pStyle w:val="Heading1"/>
      </w:pPr>
      <w:r>
        <w:t xml:space="preserve">4. Proposed Research Program</w:t>
      </w:r>
    </w:p>
    <w:p>
      <w:pPr>
        <w:spacing w:after="200"/>
      </w:pPr>
      <w:r>
        <w:t xml:space="preserve">I propose a thesis that formalizes the Circumpunct framework as a diagnostic instrument for evaluating ethical claims in relational and therapeutic discourse, with the “same wound” narrative as the primary test case. The research would proceed along three axes:</w:t>
      </w:r>
    </w:p>
    <w:p>
      <w:pPr>
        <w:pStyle w:val="Heading2"/>
      </w:pPr>
      <w:r>
        <w:t xml:space="preserve">4.1 Theoretical Formalization</w:t>
      </w:r>
    </w:p>
    <w:p>
      <w:pPr>
        <w:spacing w:after="200"/>
      </w:pPr>
      <w:r>
        <w:t xml:space="preserve">Positioning the Circumpunct framework in relation to existing models: Decety’s multi-component empathy model, Singer and Klimecki’s empathy-compassion distinction, Freyd’s betrayal trauma theory, and existing virtue ethics traditions (Aristotelian, care ethics). The goal is to identify where the framework extends, diverges from, or synthesizes these existing approaches, and to articulate precisely what diagnostic capacity it adds that existing models lack.</w:t>
      </w:r>
    </w:p>
    <w:p>
      <w:pPr>
        <w:pStyle w:val="Heading2"/>
      </w:pPr>
      <w:r>
        <w:t xml:space="preserve">4.2 Empirical Validation</w:t>
      </w:r>
    </w:p>
    <w:p>
      <w:pPr>
        <w:spacing w:after="200"/>
      </w:pPr>
      <w:r>
        <w:t xml:space="preserve">Systematic discourse analysis of popular “same wound” and related narratives across multiple platforms, applying the four-pillar/four-virtue diagnostic and coding for the presence or absence of each living quality. This would include: content analysis of high-engagement posts in narcissistic abuse recovery communities; structured interviews with survivors about the impact of equivalence narratives on their self-perception and recovery; and comparison of the framework’s diagnostic outputs with existing clinical assessment criteria (DARVO identification, coercive control indicators).</w:t>
      </w:r>
    </w:p>
    <w:p>
      <w:pPr>
        <w:pStyle w:val="Heading2"/>
      </w:pPr>
      <w:r>
        <w:t xml:space="preserve">4.3 Applied Ethics Contribution</w:t>
      </w:r>
    </w:p>
    <w:p>
      <w:pPr>
        <w:spacing w:after="200"/>
      </w:pPr>
      <w:r>
        <w:t xml:space="preserve">Development of practical guidelines for evaluating ethical claims in online healing communities, therapeutic settings, and public discourse about relational dynamics. The thesis would produce not only theoretical and empirical contributions but a usable instrument: a checklist or rubric derived from the four virtues that practitioners, moderators, and individuals can apply to evaluate whether content in their environment is functioning as genuine insight or as performed ethics.</w:t>
      </w:r>
    </w:p>
    <w:p>
      <w:pPr>
        <w:pStyle w:val="Heading1"/>
      </w:pPr>
      <w:r>
        <w:t xml:space="preserve">5. Methodology</w:t>
      </w:r>
    </w:p>
    <w:p>
      <w:pPr>
        <w:spacing w:after="200"/>
      </w:pPr>
      <w:r>
        <w:t xml:space="preserve">The proposed methodology is mixed-methods, combining qualitative and quantitative approaches:</w:t>
      </w:r>
    </w:p>
    <w:p>
      <w:pPr>
        <w:spacing w:after="200"/>
      </w:pPr>
      <w:r>
        <w:rPr>
          <w:b/>
          <w:bCs/>
        </w:rPr>
        <w:t xml:space="preserve">Critical discourse analysis</w:t>
      </w:r>
      <w:r>
        <w:t xml:space="preserve"> of publicly available social media content, applying the Circumpunct diagnostic criteria as a coding framework. This follows established CDA methodology (Fairclough, van Dijk) adapted for online relational discourse.</w:t>
      </w:r>
    </w:p>
    <w:p>
      <w:pPr>
        <w:spacing w:after="200"/>
      </w:pPr>
      <w:r>
        <w:rPr>
          <w:b/>
          <w:bCs/>
        </w:rPr>
        <w:t xml:space="preserve">Semi-structured interviews</w:t>
      </w:r>
      <w:r>
        <w:t xml:space="preserve"> with survivors of narcissistic abuse who have encountered “same wound” or equivalence-based narratives in their recovery process, examining the impact on self-perception, boundary maintenance, and recovery trajectory.</w:t>
      </w:r>
    </w:p>
    <w:p>
      <w:pPr>
        <w:spacing w:after="200"/>
      </w:pPr>
      <w:r>
        <w:rPr>
          <w:b/>
          <w:bCs/>
        </w:rPr>
        <w:t xml:space="preserve">Framework comparison</w:t>
      </w:r>
      <w:r>
        <w:t xml:space="preserve"> between the Circumpunct diagnostic and existing clinical instruments (e.g., DARVO identification protocols, coercive control checklists) to assess convergent validity.</w:t>
      </w:r>
    </w:p>
    <w:p>
      <w:pPr>
        <w:spacing w:after="200"/>
      </w:pPr>
      <w:r>
        <w:t xml:space="preserve">All research involving human participants would require and receive institutional ethics approval (IRB/REB). Social media content would be anonymized and handled in accordance with established guidelines for internet-mediated research.</w:t>
      </w:r>
    </w:p>
    <w:p>
      <w:pPr>
        <w:pStyle w:val="Heading1"/>
      </w:pPr>
      <w:r>
        <w:t xml:space="preserve">6. Program Fit</w:t>
      </w:r>
    </w:p>
    <w:p>
      <w:pPr>
        <w:spacing w:after="200"/>
      </w:pPr>
      <w:r>
        <w:t xml:space="preserve">This research is inherently interdisciplinary. It draws on philosophy (ethics, epistemology, virtue theory), psychology (developmental, clinical, social), and applied communication studies (discourse analysis, media effects). I am seeking a program that supports cross-disciplinary work and a supervisor whose research intersects with one or more of the following areas: coercive control and intimate partner violence, relational ethics and virtue ethics, narcissistic personality dynamics and treatment, trauma-informed practice, or critical discourse analysis of health and wellness content.</w:t>
      </w:r>
    </w:p>
    <w:p>
      <w:pPr>
        <w:spacing w:after="200"/>
      </w:pPr>
      <w:r>
        <w:t xml:space="preserve">Programs in applied ethics, counseling psychology, social psychology, critical psychology, or interdisciplinary humanities with a relational focus would be well suited. I am also open to programs in communication studies or media ethics where the discourse analysis component would be primary.</w:t>
      </w:r>
    </w:p>
    <w:p>
      <w:pPr>
        <w:spacing w:after="200"/>
      </w:pPr>
      <w:r>
        <w:t xml:space="preserve">My dual undergraduate training in philosophy and psychology places me at exactly the intersection this research requires. The philosophy background provides the formal reasoning, ethical theory, and epistemological precision the framework demands. The psychology background provides the empirical grounding, methodological literacy, and understanding of developmental and clinical dynamics. The independent research I have conducted since graduation demonstrates sustained intellectual commitment and the capacity to produce original theoretical work, which I am now prepared to subject to formal academic scrutiny.</w:t>
      </w:r>
    </w:p>
    <w:p>
      <w:pPr>
        <w:pStyle w:val="Heading1"/>
      </w:pPr>
      <w:r>
        <w:t xml:space="preserve">7. Significance and Contribution</w:t>
      </w:r>
    </w:p>
    <w:p>
      <w:pPr>
        <w:spacing w:after="200"/>
      </w:pPr>
      <w:r>
        <w:t xml:space="preserve">The “same wound” narrative is not an isolated phenomenon. It is one instance of a broader pattern in which popular discourse about mental health, relationships, and healing produces content that performs ethical reasoning while structurally undermining it. This pattern affects survivors of abuse who seek understanding online, practitioners who encounter these narratives in clinical settings, and the broader public discourse about accountability in intimate relationships.</w:t>
      </w:r>
    </w:p>
    <w:p>
      <w:pPr>
        <w:spacing w:after="200"/>
      </w:pPr>
      <w:r>
        <w:t xml:space="preserve">Currently, there is no established diagnostic framework that can formally distinguish performed ethics from lived ethics in relational discourse with the specificity the Circumpunct model provides. Existing clinical criteria (DARVO, gaslighting indicators, coercive control checklists) describe what manipulative patterns look like. The Circumpunct framework explains why they work, by identifying exactly which living qualities have been killed while the ethical form is preserved, and it generates predictions that can be tested against real-world discourse.</w:t>
      </w:r>
    </w:p>
    <w:p>
      <w:pPr>
        <w:spacing w:after="200"/>
      </w:pPr>
      <w:r>
        <w:t xml:space="preserve">If validated, this framework would contribute a usable instrument to multiple fields: clinical psychology (screening therapeutic and self-help content for structural harm), applied ethics (formalizing the distinction between genuine and performed ethical reasoning), communication studies (analysing how wellness and healing content functions in online communities), and survivor advocacy (providing precise language for what “something is off” actually means structurally).</w:t>
      </w:r>
    </w:p>
    <w:p>
      <w:pPr>
        <w:pStyle w:val="Heading1"/>
      </w:pPr>
      <w:r>
        <w:t xml:space="preserve">8. Selected References</w:t>
      </w:r>
    </w:p>
    <w:p>
      <w:pPr>
        <w:spacing w:after="120"/>
      </w:pPr>
      <w:r>
        <w:rPr>
          <w:sz w:val="22"/>
          <w:szCs w:val="22"/>
        </w:rPr>
        <w:t xml:space="preserve">Brummelman, E., et al. (2015). “Origins of narcissism in children.” Proceedings of the National Academy of Sciences, 112(12), 3659–3662.</w:t>
      </w:r>
    </w:p>
    <w:p>
      <w:pPr>
        <w:spacing w:after="120"/>
      </w:pPr>
      <w:r>
        <w:rPr>
          <w:sz w:val="22"/>
          <w:szCs w:val="22"/>
        </w:rPr>
        <w:t xml:space="preserve">Davidov, M., Zahn-Waxler, C., Roth-Hanania, R., &amp; Knafo, A. (2013). “Concern for others in the first year of life.” Child Development Perspectives, 7(2), 126–131.</w:t>
      </w:r>
    </w:p>
    <w:p>
      <w:pPr>
        <w:spacing w:after="120"/>
      </w:pPr>
      <w:r>
        <w:rPr>
          <w:sz w:val="22"/>
          <w:szCs w:val="22"/>
        </w:rPr>
        <w:t xml:space="preserve">Decety, J. (2011). “The neuroevolution of empathy.” Annals of the New York Academy of Sciences, 1231(1), 35–45.</w:t>
      </w:r>
    </w:p>
    <w:p>
      <w:pPr>
        <w:spacing w:after="120"/>
      </w:pPr>
      <w:r>
        <w:rPr>
          <w:sz w:val="22"/>
          <w:szCs w:val="22"/>
        </w:rPr>
        <w:t xml:space="preserve">Freyd, J.J. (1997). “Violations of power, adaptive blindness, and betrayal trauma theory.” Feminism &amp; Psychology, 7(1), 22–32.</w:t>
      </w:r>
    </w:p>
    <w:p>
      <w:pPr>
        <w:spacing w:after="120"/>
      </w:pPr>
      <w:r>
        <w:rPr>
          <w:sz w:val="22"/>
          <w:szCs w:val="22"/>
        </w:rPr>
        <w:t xml:space="preserve">Kjærvik, S.L. &amp; Bushman, B.J. (2021). “The link between narcissism and aggression: A meta-analytic review.” Psychological Bulletin, 147(5), 477–503.</w:t>
      </w:r>
    </w:p>
    <w:p>
      <w:pPr>
        <w:spacing w:after="120"/>
      </w:pPr>
      <w:r>
        <w:rPr>
          <w:sz w:val="22"/>
          <w:szCs w:val="22"/>
        </w:rPr>
        <w:t xml:space="preserve">Melchers, M.C., et al. (2016). “A systematic review and meta-analysis of the heritability of specific cognitive abilities.” Twin Research and Human Genetics.</w:t>
      </w:r>
    </w:p>
    <w:p>
      <w:pPr>
        <w:spacing w:after="120"/>
      </w:pPr>
      <w:r>
        <w:rPr>
          <w:sz w:val="22"/>
          <w:szCs w:val="22"/>
        </w:rPr>
        <w:t xml:space="preserve">Ritter, K., et al. (2011). “Lack of empathy in patients with narcissistic personality disorder.” Psychiatry Research, 187(1–2), 241–247.</w:t>
      </w:r>
    </w:p>
    <w:p>
      <w:pPr>
        <w:spacing w:after="120"/>
      </w:pPr>
      <w:r>
        <w:rPr>
          <w:sz w:val="22"/>
          <w:szCs w:val="22"/>
        </w:rPr>
        <w:t xml:space="preserve">Roonz, A. (2025–2026). Circumpunct Ethics and Virtues; The Circumpunct Theory of Narcissism; Understanding Narcissistic Abuse. Fractal Reality (fractalreality.ca).</w:t>
      </w:r>
    </w:p>
    <w:p>
      <w:pPr>
        <w:spacing w:after="120"/>
      </w:pPr>
      <w:r>
        <w:rPr>
          <w:sz w:val="22"/>
          <w:szCs w:val="22"/>
        </w:rPr>
        <w:t xml:space="preserve">Singer, T. &amp; Klimecki, O.M. (2014). “Empathy and compassion.” Current Biology, 24(18), R875–R878.</w:t>
      </w:r>
    </w:p>
    <w:p>
      <w:pPr>
        <w:spacing w:after="120"/>
      </w:pPr>
      <w:r>
        <w:rPr>
          <w:sz w:val="22"/>
          <w:szCs w:val="22"/>
        </w:rPr>
        <w:t xml:space="preserve">Sweet, P.L. (2019). “The sociology of gaslighting.” American Sociological Review, 84(5), 851–875.</w:t>
      </w:r>
    </w:p>
    <w:p>
      <w:pPr>
        <w:spacing w:after="120"/>
      </w:pPr>
      <w:r>
        <w:rPr>
          <w:sz w:val="22"/>
          <w:szCs w:val="22"/>
        </w:rPr>
        <w:t xml:space="preserve">van der Kolk, B. (2014). The Body Keeps the Score. Penguin Books.</w:t>
      </w:r>
    </w:p>
    <w:p>
      <w:pPr>
        <w:spacing w:after="120"/>
      </w:pPr>
      <w:r>
        <w:rPr>
          <w:sz w:val="22"/>
          <w:szCs w:val="22"/>
        </w:rPr>
        <w:t xml:space="preserve">Walker, P. (2013). Complex PTSD: From Surviving to Thriving. Azure Coyote.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color w:val="888888"/>
        <w:sz w:val="18"/>
        <w:szCs w:val="18"/>
      </w:rPr>
      <w:t xml:space="preserve">Research Proposal | Ashman Roonz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28"/>
      <w:szCs w:val="28"/>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2026-03-23T18:53:21.485Z</dcterms:created>
  <dcterms:modified xsi:type="dcterms:W3CDTF">2026-03-23T18:53:21.486Z</dcterms:modified>
</cp:coreProperties>
</file>

<file path=docProps/custom.xml><?xml version="1.0" encoding="utf-8"?>
<Properties xmlns="http://schemas.openxmlformats.org/officeDocument/2006/custom-properties" xmlns:vt="http://schemas.openxmlformats.org/officeDocument/2006/docPropsVTypes"/>
</file>