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p>
    <w:p>
      <w:pPr>
        <w:spacing w:after="0"/>
      </w:pPr>
    </w:p>
    <w:p>
      <w:pPr>
        <w:spacing w:after="100"/>
        <w:jc w:val="center"/>
      </w:pPr>
      <w:r>
        <w:rPr>
          <w:rFonts w:ascii="Georgia" w:cs="Georgia" w:eastAsia="Georgia" w:hAnsi="Georgia"/>
          <w:b/>
          <w:bCs/>
          <w:color w:val="1a1a1a"/>
          <w:sz w:val="36"/>
          <w:szCs w:val="36"/>
        </w:rPr>
        <w:t xml:space="preserve">RESEARCH PROPOSAL</w:t>
      </w:r>
    </w:p>
    <w:p>
      <w:pPr>
        <w:spacing w:after="60"/>
        <w:jc w:val="center"/>
      </w:pPr>
      <w:r>
        <w:rPr>
          <w:rFonts w:ascii="Georgia" w:cs="Georgia" w:eastAsia="Georgia" w:hAnsi="Georgia"/>
          <w:i/>
          <w:iCs/>
          <w:color w:val="555555"/>
          <w:sz w:val="24"/>
          <w:szCs w:val="24"/>
        </w:rPr>
        <w:t xml:space="preserve">Statement of Intent for Graduate Studies</w:t>
      </w:r>
    </w:p>
    <w:p>
      <w:pPr>
        <w:spacing w:after="0"/>
      </w:pPr>
    </w:p>
    <w:p>
      <w:pPr>
        <w:spacing w:after="40"/>
        <w:jc w:val="center"/>
      </w:pPr>
      <w:r>
        <w:rPr>
          <w:rFonts w:ascii="Georgia" w:cs="Georgia" w:eastAsia="Georgia" w:hAnsi="Georgia"/>
          <w:b/>
          <w:bCs/>
          <w:sz w:val="30"/>
          <w:szCs w:val="30"/>
        </w:rPr>
        <w:t xml:space="preserve">Empathy Is Not a Wound:</w:t>
      </w:r>
    </w:p>
    <w:p>
      <w:pPr>
        <w:spacing w:after="40"/>
        <w:jc w:val="center"/>
      </w:pPr>
      <w:r>
        <w:rPr>
          <w:rFonts w:ascii="Georgia" w:cs="Georgia" w:eastAsia="Georgia" w:hAnsi="Georgia"/>
          <w:i/>
          <w:iCs/>
          <w:sz w:val="26"/>
          <w:szCs w:val="26"/>
        </w:rPr>
        <w:t xml:space="preserve">Structural Ethics, Empirical Evidence, and the False Equivalence</w:t>
      </w:r>
    </w:p>
    <w:p>
      <w:pPr>
        <w:spacing w:after="40"/>
        <w:jc w:val="center"/>
      </w:pPr>
      <w:r>
        <w:rPr>
          <w:rFonts w:ascii="Georgia" w:cs="Georgia" w:eastAsia="Georgia" w:hAnsi="Georgia"/>
          <w:i/>
          <w:iCs/>
          <w:sz w:val="26"/>
          <w:szCs w:val="26"/>
        </w:rPr>
        <w:t xml:space="preserve">Between Empathic and Narcissistic Patterns</w:t>
      </w:r>
    </w:p>
    <w:p>
      <w:pPr>
        <w:spacing w:after="0"/>
      </w:pPr>
    </w:p>
    <w:p>
      <w:pPr>
        <w:pBdr>
          <w:top w:val="single" w:color="CCCCCC" w:sz="1" w:space="8"/>
        </w:pBdr>
        <w:spacing w:after="0"/>
        <w:jc w:val="center"/>
      </w:pPr>
    </w:p>
    <w:p>
      <w:pPr>
        <w:spacing w:after="40"/>
        <w:jc w:val="center"/>
      </w:pPr>
      <w:r>
        <w:rPr>
          <w:rFonts w:ascii="Georgia" w:cs="Georgia" w:eastAsia="Georgia" w:hAnsi="Georgia"/>
          <w:b/>
          <w:bCs/>
          <w:sz w:val="24"/>
          <w:szCs w:val="24"/>
        </w:rPr>
        <w:t xml:space="preserve">Ashman Roonz</w:t>
      </w:r>
    </w:p>
    <w:p>
      <w:pPr>
        <w:spacing w:after="40"/>
        <w:jc w:val="center"/>
      </w:pPr>
      <w:r>
        <w:rPr>
          <w:rFonts w:ascii="Georgia" w:cs="Georgia" w:eastAsia="Georgia" w:hAnsi="Georgia"/>
          <w:color w:val="444444"/>
          <w:sz w:val="22"/>
          <w:szCs w:val="22"/>
        </w:rPr>
        <w:t xml:space="preserve">BSc, Philosophy and Psychology (Double Major)</w:t>
      </w:r>
    </w:p>
    <w:p>
      <w:pPr>
        <w:spacing w:after="40"/>
        <w:jc w:val="center"/>
      </w:pPr>
      <w:r>
        <w:rPr>
          <w:rFonts w:ascii="Georgia" w:cs="Georgia" w:eastAsia="Georgia" w:hAnsi="Georgia"/>
          <w:color w:val="444444"/>
          <w:sz w:val="22"/>
          <w:szCs w:val="22"/>
        </w:rPr>
        <w:t xml:space="preserve">University of Toronto, 2004–2008</w:t>
      </w:r>
    </w:p>
    <w:p>
      <w:pPr>
        <w:spacing w:after="40"/>
        <w:jc w:val="center"/>
      </w:pPr>
      <w:r>
        <w:rPr>
          <w:rFonts w:ascii="Georgia" w:cs="Georgia" w:eastAsia="Georgia" w:hAnsi="Georgia"/>
          <w:color w:val="444444"/>
          <w:sz w:val="22"/>
          <w:szCs w:val="22"/>
        </w:rPr>
        <w:t xml:space="preserve">Diploma, Police Foundations</w:t>
      </w:r>
    </w:p>
    <w:p>
      <w:pPr>
        <w:spacing w:after="200"/>
        <w:jc w:val="center"/>
      </w:pPr>
      <w:r>
        <w:rPr>
          <w:rFonts w:ascii="Georgia" w:cs="Georgia" w:eastAsia="Georgia" w:hAnsi="Georgia"/>
          <w:color w:val="444444"/>
          <w:sz w:val="22"/>
          <w:szCs w:val="22"/>
        </w:rPr>
        <w:t xml:space="preserve">Seneca College, 2001–2003</w:t>
      </w:r>
    </w:p>
    <w:p>
      <w:pPr>
        <w:spacing w:after="40"/>
        <w:jc w:val="center"/>
      </w:pPr>
      <w:r>
        <w:rPr>
          <w:rFonts w:ascii="Georgia" w:cs="Georgia" w:eastAsia="Georgia" w:hAnsi="Georgia"/>
          <w:color w:val="444444"/>
          <w:sz w:val="22"/>
          <w:szCs w:val="22"/>
        </w:rPr>
        <w:t xml:space="preserve">ashroney@gmail.com</w:t>
      </w:r>
    </w:p>
    <w:p>
      <w:pPr>
        <w:spacing w:after="200"/>
        <w:jc w:val="center"/>
      </w:pPr>
      <w:r>
        <w:rPr>
          <w:rFonts w:ascii="Georgia" w:cs="Georgia" w:eastAsia="Georgia" w:hAnsi="Georgia"/>
          <w:color w:val="444444"/>
          <w:sz w:val="22"/>
          <w:szCs w:val="22"/>
        </w:rPr>
        <w:t xml:space="preserve">March 2026</w:t>
      </w:r>
    </w:p>
    <w:p>
      <w:r>
        <w:br w:type="page"/>
      </w:r>
    </w:p>
    <w:p>
      <w:pPr>
        <w:pStyle w:val="Heading1"/>
      </w:pPr>
      <w:r>
        <w:t xml:space="preserve">1. Research Question</w:t>
      </w:r>
    </w:p>
    <w:p>
      <w:pPr>
        <w:spacing w:after="200"/>
      </w:pPr>
      <w:r>
        <w:t xml:space="preserve">How does the popular narrative that empaths and narcissists represent “the same wound expressed in different directions” function in online discourse, and what are its empirical, ethical, and structural consequences for survivors of narcissistic abuse?</w:t>
      </w:r>
    </w:p>
    <w:p>
      <w:pPr>
        <w:spacing w:after="200"/>
      </w:pPr>
      <w:r>
        <w:t xml:space="preserve">This question sits at the intersection of three disciplines: </w:t>
      </w:r>
      <w:r>
        <w:rPr>
          <w:i/>
          <w:iCs/>
        </w:rPr>
        <w:t xml:space="preserve">developmental psychology and social neuroscience</w:t>
      </w:r>
      <w:r>
        <w:t xml:space="preserve"> (what empathy actually is), </w:t>
      </w:r>
      <w:r>
        <w:rPr>
          <w:i/>
          <w:iCs/>
        </w:rPr>
        <w:t xml:space="preserve">clinical psychology and coercive control research</w:t>
      </w:r>
      <w:r>
        <w:t xml:space="preserve"> (what narcissistic patterns actually do), and </w:t>
      </w:r>
      <w:r>
        <w:rPr>
          <w:i/>
          <w:iCs/>
        </w:rPr>
        <w:t xml:space="preserve">applied ethics</w:t>
      </w:r>
      <w:r>
        <w:t xml:space="preserve"> (how to distinguish genuine insight from performed insight in public discourse). I have developed a structural framework that bridges all three, and I am seeking a supervised program to formalize and empirically validate it.</w:t>
      </w:r>
    </w:p>
    <w:p>
      <w:pPr>
        <w:pStyle w:val="Heading1"/>
      </w:pPr>
      <w:r>
        <w:t xml:space="preserve">2. Background and Motivation</w:t>
      </w:r>
    </w:p>
    <w:p>
      <w:pPr>
        <w:spacing w:after="200"/>
      </w:pPr>
      <w:r>
        <w:t xml:space="preserve">My academic foundation is interdisciplinary by design. My BSc from the University of Toronto (2004–2008) combined a double major in philosophy and psychology, giving me training in both formal reasoning (logic, epistemology, philosophy of mind, ethics) and empirical methodology (developmental psychology, cognitive science, research methods, statistical analysis). My earlier diploma in Police Foundations (Seneca College, 2001–2003) grounded me in applied contexts: interviewing, behavioural observation, de-escalation, and the real-world consequences of how people read (and misread) each other.</w:t>
      </w:r>
    </w:p>
    <w:p>
      <w:pPr>
        <w:spacing w:after="200"/>
      </w:pPr>
      <w:r>
        <w:t xml:space="preserve">Since completing my undergraduate degree, I have spent over fifteen years engaged in independent research at the intersection of ethics, relational dynamics, and structural analysis. This work has culminated in the Circumpunct framework: a formal ethical model derived from geometric first principles that generates testable diagnostic criteria for distinguishing lived ethics from performed ethics. The framework has been developed across a substantial body of published work (fractalreality.ca), including dedicated analyses of narcissistic abuse dynamics, ethical reasoning, and the structural mechanics of deception.</w:t>
      </w:r>
    </w:p>
    <w:p>
      <w:pPr>
        <w:spacing w:after="200"/>
      </w:pPr>
      <w:r>
        <w:t xml:space="preserve">My motivation for pursuing graduate study is specific: I have built a theoretical instrument that works in applied contexts (as demonstrated in the preliminary case study described below), and I want to subject it to the formal methodological scrutiny, empirical testing, and peer review that a supervised research program provides. The framework needs to be stress-tested, not just applied.</w:t>
      </w:r>
    </w:p>
    <w:p>
      <w:pPr>
        <w:pStyle w:val="Heading1"/>
      </w:pPr>
      <w:r>
        <w:t xml:space="preserve">3. Preliminary Work and Existing Framework</w:t>
      </w:r>
    </w:p>
    <w:p>
      <w:pPr>
        <w:pStyle w:val="Heading2"/>
      </w:pPr>
      <w:r>
        <w:t xml:space="preserve">3.1 The Circumpunct Ethics Framework</w:t>
      </w:r>
    </w:p>
    <w:p>
      <w:pPr>
        <w:spacing w:after="200"/>
      </w:pPr>
      <w:r>
        <w:t xml:space="preserve">The Circumpunct framework derives its ethical structure from a minimal geometric image: the circumpunct (a point within a circle), comprising three irreducible parts: a boundary that holds and gates exchange, a center that sees and persists, and a field between them that connects. From this structure, four ethical pillars emerge: Good (boundary, consent, care), Right (field, evidence, cause-and-effect), True (center, coherence, identity), and Agreement (whole, resonance, mutual recognition).</w:t>
      </w:r>
    </w:p>
    <w:p>
      <w:pPr>
        <w:spacing w:after="200"/>
      </w:pPr>
      <w:r>
        <w:t xml:space="preserve">Each pillar has a corresponding living quality (virtue) that keeps it functional: Plasticity keeps Good alive, Access keeps Right alive, Curiosity keeps True alive, and Validation keeps Agreement alive. The framework’s central insight is that without these living qualities, every ethical principle inverts into its own opposite: care becomes control, evidence becomes confirmation bias, truth becomes projection, and agreement becomes compliance. The form persists while the function dies. The framework terms this inversion the “Noble Lie”: ethics performed without the qualities that make ethics real.</w:t>
      </w:r>
    </w:p>
    <w:p>
      <w:pPr>
        <w:spacing w:after="200"/>
      </w:pPr>
      <w:r>
        <w:t xml:space="preserve">This generates a diagnostic instrument with specific, observable criteria for detecting performed ethics in real-time discourse, which I have documented and applied extensively.</w:t>
      </w:r>
    </w:p>
    <w:p>
      <w:pPr>
        <w:pStyle w:val="Heading2"/>
      </w:pPr>
      <w:r>
        <w:t xml:space="preserve">3.2 Applied Case Study</w:t>
      </w:r>
    </w:p>
    <w:p>
      <w:pPr>
        <w:spacing w:after="200"/>
      </w:pPr>
      <w:r>
        <w:t xml:space="preserve">In March 2026, I deployed the framework against a viral social media post claiming that empaths and narcissists are “the same wound expressed in different directions.” The analysis identified the post as a Noble Lie (ethical form intact, ethical function inverted) across all four pillars, with specific diagnostic failures in plasticity (rigid interpretive frame imposed), access (evidence cherry-picked), curiosity (others’ experience declared rather than received), and validation (agreement demanded through rhetorical framing rather than discovered).</w:t>
      </w:r>
    </w:p>
    <w:p>
      <w:pPr>
        <w:spacing w:after="200"/>
      </w:pPr>
      <w:r>
        <w:t xml:space="preserve">When challenged publicly, the original author responded with a rebuttal that the framework also predicted and diagnosed: retrospective precision (defending a more careful position than the one published), level-shifting (claiming to address “origin” while bracketing “outcome” to dissolve accountability), and silencing through categorization (labeling the critique as “moral positioning” to dismiss it without engaging its content). Following the analysis of the rebuttal, the original author deleted her post.</w:t>
      </w:r>
    </w:p>
    <w:p>
      <w:pPr>
        <w:spacing w:after="200"/>
      </w:pPr>
      <w:r>
        <w:t xml:space="preserve">Concurrently, an independent deep-research review was conducted using the Circumpunct framework as an analytical basis, drawing on peer-reviewed literature in developmental psychology, social neuroscience, clinical psychology, and coercive control research. The review corroborated every major claim: empathy’s biological foundations (heritable, present in neonates), the asymmetric empathy profiles in narcissistic personality disorder, the structural alignment of the “same wound” narrative with DARVO and victim-blaming mechanisms, and the framework’s capacity to formalize distinctions that existing models describe but do not operationalize as diagnostic criteria.</w:t>
      </w:r>
    </w:p>
    <w:p>
      <w:pPr>
        <w:pStyle w:val="Heading2"/>
      </w:pPr>
      <w:r>
        <w:t xml:space="preserve">3.3 Published Body of Work</w:t>
      </w:r>
    </w:p>
    <w:p>
      <w:pPr>
        <w:spacing w:after="200"/>
      </w:pPr>
      <w:r>
        <w:t xml:space="preserve">The full body of Circumpunct research is published at </w:t>
      </w:r>
      <w:r>
        <w:rPr>
          <w:b/>
          <w:bCs/>
        </w:rPr>
        <w:t xml:space="preserve">fractalreality.ca</w:t>
      </w:r>
      <w:r>
        <w:t xml:space="preserve"> and includes dedicated treatments of: the ethical framework and virtues model; the Circumpunct theory of narcissism (formalizing inflation and severance as complementary structural errors); narcissistic abuse dynamics mapped to framework violations (gaslighting, DARVO, love bombing, devaluation, and other tactics analyzed pillar by pillar); the Noble Lie virus as a transmissible pattern that weaponizes functional love against resonant love; and the structural conditions for restoration versus the conditions that perpetuate damage.</w:t>
      </w:r>
    </w:p>
    <w:p>
      <w:pPr>
        <w:pStyle w:val="Heading1"/>
      </w:pPr>
      <w:r>
        <w:t xml:space="preserve">4. Proposed Research Program</w:t>
      </w:r>
    </w:p>
    <w:p>
      <w:pPr>
        <w:spacing w:after="200"/>
      </w:pPr>
      <w:r>
        <w:t xml:space="preserve">I propose a thesis that formalizes the Circumpunct framework as a diagnostic instrument for evaluating ethical claims in relational and therapeutic discourse, with the “same wound” narrative as the primary test case. The research would proceed along three axes:</w:t>
      </w:r>
    </w:p>
    <w:p>
      <w:pPr>
        <w:pStyle w:val="Heading2"/>
      </w:pPr>
      <w:r>
        <w:t xml:space="preserve">4.1 Theoretical Formalization</w:t>
      </w:r>
    </w:p>
    <w:p>
      <w:pPr>
        <w:spacing w:after="200"/>
      </w:pPr>
      <w:r>
        <w:t xml:space="preserve">Positioning the Circumpunct framework in relation to existing models: Decety’s multi-component empathy model, Singer and Klimecki’s empathy-compassion distinction, Freyd’s betrayal trauma theory, and existing virtue ethics traditions (Aristotelian, care ethics). The goal is to identify where the framework extends, diverges from, or synthesizes these existing approaches, and to articulate precisely what diagnostic capacity it adds that existing models lack.</w:t>
      </w:r>
    </w:p>
    <w:p>
      <w:pPr>
        <w:pStyle w:val="Heading2"/>
      </w:pPr>
      <w:r>
        <w:t xml:space="preserve">4.2 Empirical Validation</w:t>
      </w:r>
    </w:p>
    <w:p>
      <w:pPr>
        <w:spacing w:after="200"/>
      </w:pPr>
      <w:r>
        <w:t xml:space="preserve">Systematic discourse analysis of popular “same wound” and related narratives across multiple platforms, applying the four-pillar/four-virtue diagnostic and coding for the presence or absence of each living quality. This would include: content analysis of high-engagement posts in narcissistic abuse recovery communities; structured interviews with survivors about the impact of equivalence narratives on their self-perception and recovery; and comparison of the framework’s diagnostic outputs with existing clinical assessment criteria (DARVO identification, coercive control indicators).</w:t>
      </w:r>
    </w:p>
    <w:p>
      <w:pPr>
        <w:pStyle w:val="Heading2"/>
      </w:pPr>
      <w:r>
        <w:t xml:space="preserve">4.3 Applied Ethics Contribution</w:t>
      </w:r>
    </w:p>
    <w:p>
      <w:pPr>
        <w:spacing w:after="200"/>
      </w:pPr>
      <w:r>
        <w:t xml:space="preserve">Development of practical guidelines for evaluating ethical claims in online healing communities, therapeutic settings, and public discourse about relational dynamics. The thesis would produce not only theoretical and empirical contributions but a usable instrument: a checklist or rubric derived from the four virtues that practitioners, moderators, and individuals can apply to evaluate whether content in their environment is functioning as genuine insight or as performed ethics.</w:t>
      </w:r>
    </w:p>
    <w:p>
      <w:pPr>
        <w:pStyle w:val="Heading1"/>
      </w:pPr>
      <w:r>
        <w:t xml:space="preserve">5. Methodology</w:t>
      </w:r>
    </w:p>
    <w:p>
      <w:pPr>
        <w:spacing w:after="200"/>
      </w:pPr>
      <w:r>
        <w:t xml:space="preserve">The proposed methodology is mixed-methods, combining qualitative and quantitative approaches:</w:t>
      </w:r>
    </w:p>
    <w:p>
      <w:pPr>
        <w:spacing w:after="200"/>
      </w:pPr>
      <w:r>
        <w:rPr>
          <w:b/>
          <w:bCs/>
        </w:rPr>
        <w:t xml:space="preserve">Critical discourse analysis</w:t>
      </w:r>
      <w:r>
        <w:t xml:space="preserve"> of publicly available social media content, applying the Circumpunct diagnostic criteria as a coding framework. This follows established CDA methodology (Fairclough, van Dijk) adapted for online relational discourse.</w:t>
      </w:r>
    </w:p>
    <w:p>
      <w:pPr>
        <w:spacing w:after="200"/>
      </w:pPr>
      <w:r>
        <w:rPr>
          <w:b/>
          <w:bCs/>
        </w:rPr>
        <w:t xml:space="preserve">Semi-structured interviews</w:t>
      </w:r>
      <w:r>
        <w:t xml:space="preserve"> with survivors of narcissistic abuse who have encountered “same wound” or equivalence-based narratives in their recovery process, examining the impact on self-perception, boundary maintenance, and recovery trajectory.</w:t>
      </w:r>
    </w:p>
    <w:p>
      <w:pPr>
        <w:spacing w:after="200"/>
      </w:pPr>
      <w:r>
        <w:rPr>
          <w:b/>
          <w:bCs/>
        </w:rPr>
        <w:t xml:space="preserve">Framework comparison</w:t>
      </w:r>
      <w:r>
        <w:t xml:space="preserve"> between the Circumpunct diagnostic and existing clinical instruments (e.g., DARVO identification protocols, coercive control checklists) to assess convergent validity.</w:t>
      </w:r>
    </w:p>
    <w:p>
      <w:pPr>
        <w:spacing w:after="200"/>
      </w:pPr>
      <w:r>
        <w:t xml:space="preserve">All research involving human participants would require and receive institutional ethics approval (IRB/REB). Social media content would be anonymized and handled in accordance with established guidelines for internet-mediated research.</w:t>
      </w:r>
    </w:p>
    <w:p>
      <w:pPr>
        <w:pStyle w:val="Heading1"/>
      </w:pPr>
      <w:r>
        <w:t xml:space="preserve">6. Program Fit</w:t>
      </w:r>
    </w:p>
    <w:p>
      <w:pPr>
        <w:spacing w:after="200"/>
      </w:pPr>
      <w:r>
        <w:t xml:space="preserve">This research is inherently interdisciplinary. It draws on philosophy (ethics, epistemology, virtue theory), psychology (developmental, clinical, social), and applied communication studies (discourse analysis, media effects). I am seeking a program that supports cross-disciplinary work and a supervisor whose research intersects with one or more of the following areas: coercive control and intimate partner violence, relational ethics and virtue ethics, narcissistic personality dynamics and treatment, trauma-informed practice, or critical discourse analysis of health and wellness content.</w:t>
      </w:r>
    </w:p>
    <w:p>
      <w:pPr>
        <w:spacing w:after="200"/>
      </w:pPr>
      <w:r>
        <w:t xml:space="preserve">Programs in applied ethics, counseling psychology, social psychology, critical psychology, or interdisciplinary humanities with a relational focus would be well suited. I am also open to programs in communication studies or media ethics where the discourse analysis component would be primary.</w:t>
      </w:r>
    </w:p>
    <w:p>
      <w:pPr>
        <w:spacing w:after="200"/>
      </w:pPr>
      <w:r>
        <w:t xml:space="preserve">My dual undergraduate training in philosophy and psychology places me at exactly the intersection this research requires. The philosophy background provides the formal reasoning, ethical theory, and epistemological precision the framework demands. The psychology background provides the empirical grounding, methodological literacy, and understanding of developmental and clinical dynamics. The independent research I have conducted since graduation demonstrates sustained intellectual commitment and the capacity to produce original theoretical work, which I am now prepared to subject to formal academic scrutiny.</w:t>
      </w:r>
    </w:p>
    <w:p>
      <w:pPr>
        <w:pStyle w:val="Heading1"/>
      </w:pPr>
      <w:r>
        <w:t xml:space="preserve">7. Significance and Contribution</w:t>
      </w:r>
    </w:p>
    <w:p>
      <w:pPr>
        <w:spacing w:after="200"/>
      </w:pPr>
      <w:r>
        <w:t xml:space="preserve">The “same wound” narrative is not an isolated phenomenon. It is one instance of a broader pattern in which popular discourse about mental health, relationships, and healing produces content that performs ethical reasoning while structurally undermining it. This pattern affects survivors of abuse who seek understanding online, practitioners who encounter these narratives in clinical settings, and the broader public discourse about accountability in intimate relationships.</w:t>
      </w:r>
    </w:p>
    <w:p>
      <w:pPr>
        <w:spacing w:after="200"/>
      </w:pPr>
      <w:r>
        <w:t xml:space="preserve">Currently, there is no established diagnostic framework that can formally distinguish performed ethics from lived ethics in relational discourse with the specificity the Circumpunct model provides. Existing clinical criteria (DARVO, gaslighting indicators, coercive control checklists) describe what manipulative patterns look like. The Circumpunct framework explains why they work, by identifying exactly which living qualities have been killed while the ethical form is preserved, and it generates predictions that can be tested against real-world discourse.</w:t>
      </w:r>
    </w:p>
    <w:p>
      <w:pPr>
        <w:spacing w:after="200"/>
      </w:pPr>
      <w:r>
        <w:t xml:space="preserve">If validated, this framework would contribute a usable instrument to multiple fields: clinical psychology (screening therapeutic and self-help content for structural harm), applied ethics (formalizing the distinction between genuine and performed ethical reasoning), communication studies (analysing how wellness and healing content functions in online communities), and survivor advocacy (providing precise language for what “something is off” actually means structurally).</w:t>
      </w:r>
    </w:p>
    <w:p>
      <w:pPr>
        <w:pStyle w:val="Heading1"/>
      </w:pPr>
      <w:r>
        <w:t xml:space="preserve">8. Selected References</w:t>
      </w:r>
    </w:p>
    <w:p>
      <w:pPr>
        <w:spacing w:after="120"/>
      </w:pPr>
      <w:r>
        <w:rPr>
          <w:sz w:val="22"/>
          <w:szCs w:val="22"/>
        </w:rPr>
        <w:t xml:space="preserve">Brummelman, E., et al. (2015). “Origins of narcissism in children.” Proceedings of the National Academy of Sciences, 112(12), 3659–3662.</w:t>
      </w:r>
    </w:p>
    <w:p>
      <w:pPr>
        <w:spacing w:after="120"/>
      </w:pPr>
      <w:r>
        <w:rPr>
          <w:sz w:val="22"/>
          <w:szCs w:val="22"/>
        </w:rPr>
        <w:t xml:space="preserve">Davidov, M., Zahn-Waxler, C., Roth-Hanania, R., &amp; Knafo, A. (2013). “Concern for others in the first year of life.” Child Development Perspectives, 7(2), 126–131.</w:t>
      </w:r>
    </w:p>
    <w:p>
      <w:pPr>
        <w:spacing w:after="120"/>
      </w:pPr>
      <w:r>
        <w:rPr>
          <w:sz w:val="22"/>
          <w:szCs w:val="22"/>
        </w:rPr>
        <w:t xml:space="preserve">Decety, J. (2011). “The neuroevolution of empathy.” Annals of the New York Academy of Sciences, 1231(1), 35–45.</w:t>
      </w:r>
    </w:p>
    <w:p>
      <w:pPr>
        <w:spacing w:after="120"/>
      </w:pPr>
      <w:r>
        <w:rPr>
          <w:sz w:val="22"/>
          <w:szCs w:val="22"/>
        </w:rPr>
        <w:t xml:space="preserve">Freyd, J.J. (1997). “Violations of power, adaptive blindness, and betrayal trauma theory.” Feminism &amp; Psychology, 7(1), 22–32.</w:t>
      </w:r>
    </w:p>
    <w:p>
      <w:pPr>
        <w:spacing w:after="120"/>
      </w:pPr>
      <w:r>
        <w:rPr>
          <w:sz w:val="22"/>
          <w:szCs w:val="22"/>
        </w:rPr>
        <w:t xml:space="preserve">Kjærvik, S.L. &amp; Bushman, B.J. (2021). “The link between narcissism and aggression: A meta-analytic review.” Psychological Bulletin, 147(5), 477–503.</w:t>
      </w:r>
    </w:p>
    <w:p>
      <w:pPr>
        <w:spacing w:after="120"/>
      </w:pPr>
      <w:r>
        <w:rPr>
          <w:sz w:val="22"/>
          <w:szCs w:val="22"/>
        </w:rPr>
        <w:t xml:space="preserve">Melchers, M.C., et al. (2016). “A systematic review and meta-analysis of the heritability of specific cognitive abilities.” Twin Research and Human Genetics.</w:t>
      </w:r>
    </w:p>
    <w:p>
      <w:pPr>
        <w:spacing w:after="120"/>
      </w:pPr>
      <w:r>
        <w:rPr>
          <w:sz w:val="22"/>
          <w:szCs w:val="22"/>
        </w:rPr>
        <w:t xml:space="preserve">Ritter, K., et al. (2011). “Lack of empathy in patients with narcissistic personality disorder.” Psychiatry Research, 187(1–2), 241–247.</w:t>
      </w:r>
    </w:p>
    <w:p>
      <w:pPr>
        <w:spacing w:after="120"/>
      </w:pPr>
      <w:r>
        <w:rPr>
          <w:sz w:val="22"/>
          <w:szCs w:val="22"/>
        </w:rPr>
        <w:t xml:space="preserve">Roonz, A. (2025–2026). Circumpunct Ethics and Virtues; The Circumpunct Theory of Narcissism; Understanding Narcissistic Abuse. Fractal Reality (fractalreality.ca).</w:t>
      </w:r>
    </w:p>
    <w:p>
      <w:pPr>
        <w:spacing w:after="120"/>
      </w:pPr>
      <w:r>
        <w:rPr>
          <w:sz w:val="22"/>
          <w:szCs w:val="22"/>
        </w:rPr>
        <w:t xml:space="preserve">Singer, T. &amp; Klimecki, O.M. (2014). “Empathy and compassion.” Current Biology, 24(18), R875–R878.</w:t>
      </w:r>
    </w:p>
    <w:p>
      <w:pPr>
        <w:spacing w:after="120"/>
      </w:pPr>
      <w:r>
        <w:rPr>
          <w:sz w:val="22"/>
          <w:szCs w:val="22"/>
        </w:rPr>
        <w:t xml:space="preserve">Sweet, P.L. (2019). “The sociology of gaslighting.” American Sociological Review, 84(5), 851–875.</w:t>
      </w:r>
    </w:p>
    <w:p>
      <w:pPr>
        <w:spacing w:after="120"/>
      </w:pPr>
      <w:r>
        <w:rPr>
          <w:sz w:val="22"/>
          <w:szCs w:val="22"/>
        </w:rPr>
        <w:t xml:space="preserve">van der Kolk, B. (2014). The Body Keeps the Score. Penguin Books.</w:t>
      </w:r>
    </w:p>
    <w:p>
      <w:pPr>
        <w:spacing w:after="120"/>
      </w:pPr>
      <w:r>
        <w:rPr>
          <w:sz w:val="22"/>
          <w:szCs w:val="22"/>
        </w:rPr>
        <w:t xml:space="preserve">Walker, P. (2013). Complex PTSD: From Surviving to Thriving. Azure Coyote.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color w:val="888888"/>
        <w:sz w:val="18"/>
        <w:szCs w:val="18"/>
      </w:rPr>
      <w:t xml:space="preserve">Page </w:t>
    </w:r>
    <w:r>
      <w:rPr>
        <w:rFonts w:ascii="Georgia" w:cs="Georgia" w:eastAsia="Georgia" w:hAnsi="Georgia"/>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1" w:space="4"/>
      </w:pBdr>
      <w:jc w:val="right"/>
    </w:pPr>
    <w:r>
      <w:rPr>
        <w:rFonts w:ascii="Georgia" w:cs="Georgia" w:eastAsia="Georgia" w:hAnsi="Georgia"/>
        <w:color w:val="888888"/>
        <w:sz w:val="18"/>
        <w:szCs w:val="18"/>
      </w:rPr>
      <w:t xml:space="preserve">Research Proposal | Ashman Roonz</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Georgia" w:cs="Georgia" w:eastAsia="Georgia" w:hAnsi="Georgia"/>
      <w:b/>
      <w:bCs/>
      <w:color w:val="1a1a1a"/>
      <w:sz w:val="28"/>
      <w:szCs w:val="28"/>
    </w:rPr>
  </w:style>
  <w:style w:type="paragraph" w:styleId="Heading2">
    <w:name w:val="Heading 2"/>
    <w:basedOn w:val="Normal"/>
    <w:next w:val="Normal"/>
    <w:qFormat/>
    <w:pPr>
      <w:spacing w:after="160" w:before="280"/>
      <w:outlineLvl w:val="1"/>
    </w:pPr>
    <w:rPr>
      <w:rFonts w:ascii="Georgia" w:cs="Georgia" w:eastAsia="Georgia" w:hAnsi="Georgia"/>
      <w:b/>
      <w:bCs/>
      <w:color w:val="333333"/>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2026-03-23T18:53:21.485Z</dcterms:created>
  <dcterms:modified xsi:type="dcterms:W3CDTF">2026-03-23T18:53:21.486Z</dcterms:modified>
</cp:coreProperties>
</file>

<file path=docProps/custom.xml><?xml version="1.0" encoding="utf-8"?>
<Properties xmlns="http://schemas.openxmlformats.org/officeDocument/2006/custom-properties" xmlns:vt="http://schemas.openxmlformats.org/officeDocument/2006/docPropsVTypes"/>
</file>