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PharmaGuard: A Production-Grade Distributed Clinical Decision Support System for Drug Interaction Safety and Prescription Validation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contemporary healthcare environment is characterized by an escalating complexity in pharmacotherapy, driven by the prevalence of multi-morbidities and the subsequent rise of polypharmacy. As the number of concurrent medications per patient increases, the probability of adverse drug events (ADEs) grows exponentially, placing an unsustainable cognitive burden on prescribing physicians and clinical pharmacists.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Statistics suggest that a clinician managing a patient on ten medications must evaluate forty-five unique drug pairs for potential interactions, a task that is often performed under significant time pressure and cognitive load.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electronic health record (EHR) systems have attempted to address this challenge through automated alerts; however, these systems frequently suffer from low specificity, leading to "alert fatigue" where clinicians override more than ninety percent of safety warnings.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PharmaGuard is conceived as a next-generation clinical decision support system (CDSS) that utilizes ingredient-level decomposition, advanced risk scoring, and Domain-Driven Design (DDD) to provide high-precision, actionable safety validation at the point of care.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Domain Analysis and Architectural Foundations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development of PharmaGuard follows the principles of Domain-Driven Design to ensure that the software architecture remains strictly aligned with the complex business logic of clinical pharmacology.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decomposing the large, complex domain of prescription validation into smaller, manageable subdomains, the system achieves a degree of modularity and maintainability that is essential for mission-critical healthcare applications.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approach emphasizes the creation of a "Ubiquitous Language"—a shared vocabulary used by both software engineers and clinical experts—to define terms like "contraindication," "therapeutic equivalent," and "ingredient moiety" with absolute consistency across the code and the clinical workflow.</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Decomposition and Bounded Contexts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PharmaGuard's architecture is organized into core, supporting, and generic subdomains, each encapsulated within a Bounded Context to prevent model contamination and ensure independent scalability.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interaction detection engine and the pharmaceutical knowledge base constitute the core subdomains, as they represent the primary intellectual property and safety value of the platform.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Supporting subdomains include patient management and prescription lifecycle tracking, which facilitate the clinical workflow without being the primary competitive differentiator.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Generic subdomains, such as identity management (authentication) and notification services, leverage standardized technical solutions.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Bounded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Subdomain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Aggregate Root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Responsibility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Interaction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InteractionCheck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Combinatorial analysis of ingredient pairs; risk scoring; rank-ordering alerts by clinical significance.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Drug Knowledge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PharmaceuticalProduct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Cataloging drug brands, ingredients, concentrations, and standardized codes (RxNorm/ATC).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Prescription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Managing the state of orders (draft, active, archived); enforcing validation rules during drug addition.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Clinical Records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PatientProfile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Storing patient demographics, medical history, and allergy flags; ensuring PHI isolation.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Safety Analytics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InteractionTrend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Aggregating event data from Cassandra to identify high-risk prescription patterns across hospitals.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 &amp;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UserAccount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Handling JWT-based authentication; enforcing role-based access control (RBAC) and Row Level Security (RLS).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Notification Hub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AlertEvent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Routing severe alerts to supervising pharmacists via push notifications and real-time streams.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DDD paradigm, the Prescription entity serves as an aggregate root, ensuring that any modification—such as adding or removing a drug—maintains the consistency of the entire order.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a drug is added to a Prescription, the Prescription Service emits a DrugAdded domain event, which the Interaction Engine consumes to perform an asynchronous, high-speed safety check.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event-driven communication, mediated by an Anti-Corruption Layer (ACL) when integrating with external EHR systems, prevents the clinical logic from being compromised by external data formats.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Ingredient-Level Interaction Detection Engine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core of PharmaGuard is its ingredient-level interaction detection engine, which shifts the focus from brand-level drug name matching to chemical-level validation.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Many modern pharmaceuticals are combination products containing multiple active ingredients; checking for interactions at the brand name level often fails to identify risks associated with a shared chemical moiety or a specific pharmacokinetic pathway.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PharmaGuard decomposes every drug in a prescription into its constituent ingredients, administration routes, and dosages before performing its combinatorial analysis.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Combinatorial Analysis and Complexity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implements a rigorous algorithm that receives a prescription_id, fetches the current medication list, and retrieves all associated active moieties from the Drug Knowledge Base.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 prescription with </w:t>
      </w:r>
      <w:r w:rsidDel="00000000" w:rsidR="00000000" w:rsidRPr="00000000">
        <w:rPr>
          <w:rFonts w:ascii="Google Sans" w:cs="Google Sans" w:eastAsia="Google Sans" w:hAnsi="Google Sans"/>
          <w:color w:val="1f1f1f"/>
        </w:rPr>
        <w:drawing>
          <wp:inline distB="19050" distT="19050" distL="19050" distR="19050">
            <wp:extent cx="157877" cy="23305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7877" cy="233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drugs, the system must evaluate all unique drug-drug pairs. If each drug contains an average of </w:t>
      </w:r>
      <w:r w:rsidDel="00000000" w:rsidR="00000000" w:rsidRPr="00000000">
        <w:rPr>
          <w:rFonts w:ascii="Google Sans" w:cs="Google Sans" w:eastAsia="Google Sans" w:hAnsi="Google Sans"/>
          <w:color w:val="1f1f1f"/>
        </w:rPr>
        <w:drawing>
          <wp:inline distB="19050" distT="19050" distL="19050" distR="19050">
            <wp:extent cx="95607" cy="246985"/>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95607" cy="2469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ingredients, the engine performs </w:t>
      </w:r>
      <w:r w:rsidDel="00000000" w:rsidR="00000000" w:rsidRPr="00000000">
        <w:rPr>
          <w:rFonts w:ascii="Google Sans" w:cs="Google Sans" w:eastAsia="Google Sans" w:hAnsi="Google Sans"/>
          <w:color w:val="1f1f1f"/>
        </w:rPr>
        <w:drawing>
          <wp:inline distB="19050" distT="19050" distL="19050" distR="19050">
            <wp:extent cx="915948" cy="236620"/>
            <wp:effectExtent b="0" l="0" r="0" t="0"/>
            <wp:docPr id="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915948" cy="236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ingredient-pair comparisons.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 standard complex prescription of five drugs with three ingredients each, this necessitates ninety distinct ingredient-level lookups.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the performance target of a sub-500ms response time, PharmaGuard utilizes a multi-tiered caching strategy.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Redis serves as the high-speed cache for pre-calculated interaction results, indexed by a sorted composite key of ingredient identifiers (e.g., ingredient_pair:{idA}:{idB}).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that once an interaction is evaluated, subsequent checks for the same chemical moieties across different brand names occur at sub-millisecond speeds.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 steady state with an eighty percent cache hit rate, the computational complexity effectively drops to </w:t>
      </w:r>
      <w:r w:rsidDel="00000000" w:rsidR="00000000" w:rsidRPr="00000000">
        <w:rPr>
          <w:rFonts w:ascii="Google Sans" w:cs="Google Sans" w:eastAsia="Google Sans" w:hAnsi="Google Sans"/>
          <w:color w:val="1f1f1f"/>
        </w:rPr>
        <w:drawing>
          <wp:inline distB="19050" distT="19050" distL="19050" distR="19050">
            <wp:extent cx="521137" cy="237577"/>
            <wp:effectExtent b="0" l="0" r="0" t="0"/>
            <wp:docPr id="5"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21137" cy="2375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providing the responsiveness required for real-time point-of-care clinical decisions.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Informatics and Graph-Based Modeling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rule-based systems are effective for documented interactions, PharmaGuard incorporates advanced informatics models to predict risks in "cold-start" scenarios where documented evidence may be sparse.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system implements the AERGCN-DDI model, a relational graph convolutional network (R-GCN) with a multi-head attention mechanism.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model treats drugs as nodes and risk levels as edges in a heterogeneous information graph.</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learning behavioral characteristics of drug nodes based on their SMILES (Simplified Molecular Input Line Entry System) descriptors and molecular fingerprints, the system can identify potential risks for newly emerging drug compounds before they are fully cataloged in traditional clinical databases.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Interaction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Clinical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Pharmacokinetic (PK)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Altered ADME (Absorption, Distribution, Metabolism, Excretion).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Inhibition or induction of CYP450 enzymes; drug transporter interference.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Detailed enzymatic pathway data; P-glycoprotein interaction status.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Pharmacodynamic (PD)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Synergistic or antagonistic effects at the target site.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Additive QT prolongation; serotonergic syndrome; additive anticholinergic load.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Drug-receptor binding profiles; pharmacological class hierarchies.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Pharmaceutical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Chemical reaction prior to absorption (in vitro).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Precipitation in IV lines; degradation due to pH changes.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Stability and compatibility data in various delivery vehicles. </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AERGCN-DDI engine operates on a 300-dimensional feature set, reduced via Principal Component Analysis (PCA) to balance predictive accuracy with computational efficiency.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methodology allows PharmaGuard to categorize risks into four tiers—Major, Moderate, Minor, and Unknown—ensuring that clinicians receive a nuanced assessment of the clinical landscape rather than a simple binary alert.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Risk Scoring Methodology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failure of legacy CDSS is the inability to weigh interactions in the context of the individual patient's physiological state.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PharmaGuard addresses this by integrating patient-specific parameters into its risk scoring logic, drawing on the Medication Risk Score (MERIS) and the PsychoPharm Aggregated Risk Score (PARS) methodologies.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approach ensures that a "Moderate" interaction in a healthy young adult is appropriately escalated to "Severe" in a geriatric patient with renal impairment.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MERIS Informatics Framework</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PharmaGuard's primary risk scoring formula is a mechanistic static model that assesses cumulative burden across multiple dimensions.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total score </w:t>
      </w:r>
      <w:r w:rsidDel="00000000" w:rsidR="00000000" w:rsidRPr="00000000">
        <w:rPr>
          <w:rFonts w:ascii="Google Sans" w:cs="Google Sans" w:eastAsia="Google Sans" w:hAnsi="Google Sans"/>
          <w:color w:val="1f1f1f"/>
        </w:rPr>
        <w:drawing>
          <wp:inline distB="19050" distT="19050" distL="19050" distR="19050">
            <wp:extent cx="123706" cy="239680"/>
            <wp:effectExtent b="0" l="0" r="0" t="0"/>
            <wp:docPr id="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23706" cy="239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by summing points assigned for physiological risk factors and pharmacological loads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8824"/>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05500" cy="47882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eGFR (Estimated Glomerular Filtration Rate) serves as a primary weighted constant, as renal clearance significantly impacts the plasma concentration and potential toxicity of many pharmaceuticals.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system also weighs the total number of medications, recognizing that polypharmacy itself is a proxy for medication error risk.</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Condition / Finding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Weighted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Clinical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Renal Function (eGFR)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31708" cy="192854"/>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31708" cy="19285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mL/min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Baseline risk; standard drug clearance.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67546" cy="19143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67546" cy="19143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 </w:t>
            </w:r>
            <w:r w:rsidDel="00000000" w:rsidR="00000000" w:rsidRPr="00000000">
              <w:rPr>
                <w:rFonts w:ascii="Google Sans" w:cs="Google Sans" w:eastAsia="Google Sans" w:hAnsi="Google Sans"/>
                <w:color w:val="1f1f1f"/>
                <w:shd w:fill="auto" w:val="clear"/>
              </w:rPr>
              <w:drawing>
                <wp:inline distB="19050" distT="19050" distL="19050" distR="19050">
                  <wp:extent cx="367546" cy="191430"/>
                  <wp:effectExtent b="0" l="0" r="0" t="0"/>
                  <wp:docPr id="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367546" cy="19143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impairment; potential for accumulation.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31708" cy="192854"/>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31708" cy="19285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Severe impairment; high toxicity threshold.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Polypharmacy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80724" cy="201811"/>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80724" cy="20181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 </w:t>
            </w:r>
            <w:r w:rsidDel="00000000" w:rsidR="00000000" w:rsidRPr="00000000">
              <w:rPr>
                <w:rFonts w:ascii="Google Sans" w:cs="Google Sans" w:eastAsia="Google Sans" w:hAnsi="Google Sans"/>
                <w:color w:val="1f1f1f"/>
                <w:shd w:fill="auto" w:val="clear"/>
              </w:rPr>
              <w:drawing>
                <wp:inline distB="19050" distT="19050" distL="19050" distR="19050">
                  <wp:extent cx="80724" cy="201811"/>
                  <wp:effectExtent b="0" l="0" r="0" t="0"/>
                  <wp:docPr id="1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80724" cy="20181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drugs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complexity regimen.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80724" cy="201811"/>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80724" cy="20181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 </w:t>
            </w:r>
            <w:r w:rsidDel="00000000" w:rsidR="00000000" w:rsidRPr="00000000">
              <w:rPr>
                <w:rFonts w:ascii="Google Sans" w:cs="Google Sans" w:eastAsia="Google Sans" w:hAnsi="Google Sans"/>
                <w:color w:val="1f1f1f"/>
                <w:shd w:fill="auto" w:val="clear"/>
              </w:rPr>
              <w:drawing>
                <wp:inline distB="19050" distT="19050" distL="19050" distR="19050">
                  <wp:extent cx="161330" cy="192059"/>
                  <wp:effectExtent b="0" l="0" r="0" t="0"/>
                  <wp:docPr id="1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61330" cy="19205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complexity; increased pair-wise risk.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31708" cy="192854"/>
                  <wp:effectExtent b="0" l="0" r="0" t="0"/>
                  <wp:docPr id="1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31708" cy="19285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Severe complexity; extreme cognitive burden.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Medication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Risk Drugs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127998" cy="207183"/>
                  <wp:effectExtent b="0" l="0" r="0" t="0"/>
                  <wp:docPr id="1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1127998" cy="20718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Minor adverse effect profile.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Risk Drugs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047398" cy="206421"/>
                  <wp:effectExtent b="0" l="0" r="0" t="0"/>
                  <wp:docPr id="1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047398" cy="20642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Documented potential for moderate harm.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Risk Drugs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43890" cy="204530"/>
                  <wp:effectExtent b="0" l="0" r="0" t="0"/>
                  <wp:docPr id="18"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643890" cy="20453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Narrow therapeutic window or high toxicity.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Interaction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Low-Medium Pairs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208608" cy="206534"/>
                  <wp:effectExtent b="0" l="0" r="0" t="0"/>
                  <wp:docPr id="19"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208608" cy="20653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Manageable; requires monitoring.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Risk Pairs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047398" cy="206421"/>
                  <wp:effectExtent b="0" l="0" r="0" t="0"/>
                  <wp:docPr id="2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047398" cy="20642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Significant danger; requires intervention. </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cumulative score exceeding 15 is flagged as high-risk, a threshold that has demonstrated high sensitivity in clinical validation studies.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Furthermore, PharmaGuard integrates the Anticholinergic Burden (ACB) scale, which specifically calculates the risk of cognitive impairment and falls in elderly populations; a score of 3 or higher on the ACB scale triggers a high-priority review alert.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PARS Multidimensional Tool</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complex specialties such as psychiatry, PharmaGuard employs the PsychoPharm Aggregated Risk Score (PARS).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Unlike the additive MERIS model, PARS utilizes z-standardized components to create a composite score that integrates DDI scores, QT interval risk (via AZCERT), anticholinergic burden, and serotonergic exposure.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score is rescaled to a 0–10 clinical scale, with a high-risk threshold set at the 75th percentile of the patient population.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allows the system to identify the top twenty-five percent of visits requiring intensive medication review, effectively triaging the clinician's attention toward the most vulnerable patients.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Recommendations and Therapeutic Substitution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Surfacing a safety warning without an alternative often leaves the clinician in a therapeutic dilemma. PharmaGuard addresses this by providing "Therapeutic Alternate" recommendations—drugs that differ in chemical structure but are from the same therapeutic class and possess similar pharmacodynamic properties.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substitution logic is powered by a high-fidelity mapping between RxNorm clinical drugs and the WHO’s Anatomical Therapeutic Chemical (ATC) classification hierarchy.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Substitution Algorithm and Logic</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system detects a severe interaction between Drug A and Drug B, the Therapeutic Substitution Engine executes the following logic to identify alternatives for Drug B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Categorization:</w:t>
      </w:r>
      <w:r w:rsidDel="00000000" w:rsidR="00000000" w:rsidRPr="00000000">
        <w:rPr>
          <w:rFonts w:ascii="Google Sans" w:cs="Google Sans" w:eastAsia="Google Sans" w:hAnsi="Google Sans"/>
          <w:color w:val="1f1f1f"/>
          <w:rtl w:val="0"/>
        </w:rPr>
        <w:t xml:space="preserve"> Identify the ATC 5th-level code for Drug B.</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Hierarchy Traversal:</w:t>
      </w:r>
      <w:r w:rsidDel="00000000" w:rsidR="00000000" w:rsidRPr="00000000">
        <w:rPr>
          <w:rFonts w:ascii="Google Sans" w:cs="Google Sans" w:eastAsia="Google Sans" w:hAnsi="Google Sans"/>
          <w:color w:val="1f1f1f"/>
          <w:rtl w:val="0"/>
        </w:rPr>
        <w:t xml:space="preserve"> Move to the ATC 4th-level (chemical subgroup) or 3rd-level (pharmacological subgroup) to find related therapeutic moieties.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Candidate Filtering:</w:t>
      </w:r>
      <w:r w:rsidDel="00000000" w:rsidR="00000000" w:rsidRPr="00000000">
        <w:rPr>
          <w:rFonts w:ascii="Google Sans" w:cs="Google Sans" w:eastAsia="Google Sans" w:hAnsi="Google Sans"/>
          <w:color w:val="1f1f1f"/>
          <w:rtl w:val="0"/>
        </w:rPr>
        <w:t xml:space="preserve"> Generate a list of all Level 5 substances within that subgroup that are present on the hospital's local formulary.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Safety Re-Validation:</w:t>
      </w:r>
      <w:r w:rsidDel="00000000" w:rsidR="00000000" w:rsidRPr="00000000">
        <w:rPr>
          <w:rFonts w:ascii="Google Sans" w:cs="Google Sans" w:eastAsia="Google Sans" w:hAnsi="Google Sans"/>
          <w:color w:val="1f1f1f"/>
          <w:rtl w:val="0"/>
        </w:rPr>
        <w:t xml:space="preserve"> For each candidate substance, the system performs a "shadow" interaction check against Drug A and the rest of the patient's medication list.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Ranking:</w:t>
      </w:r>
      <w:r w:rsidDel="00000000" w:rsidR="00000000" w:rsidRPr="00000000">
        <w:rPr>
          <w:rFonts w:ascii="Google Sans" w:cs="Google Sans" w:eastAsia="Google Sans" w:hAnsi="Google Sans"/>
          <w:color w:val="1f1f1f"/>
          <w:rtl w:val="0"/>
        </w:rPr>
        <w:t xml:space="preserve"> Candidates that resolve the initial interaction without introducing new risks are ranked based on cost-effectiveness and clinical evidence.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mapping process is complex due to the ontological differences between RxNorm and ATC; for instance, a single RxNorm ingredient like Prednisolone may map to multiple ATC codes depending on whether it is used for systemic immunosuppression (H02AB06) or ophthalmology (S01CB02).</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PharmaGuard resolves this by incorporating "Route of Administration" (RoA) metadata into the mapping heuristic, ensuring that the suggested alternative matches the intended delivery method (e.g., substituting a nasal spray for another nasal spray within the R01AD category).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Prescribed Drug (Conflict)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ATC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Detected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Suggested Alternative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Clinical Management Note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Ibuprofen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M01AE01 (NSAID)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Increased bleeding risk with Warfarin.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Acetaminophen</w:t>
            </w:r>
            <w:r w:rsidDel="00000000" w:rsidR="00000000" w:rsidRPr="00000000">
              <w:rPr>
                <w:rFonts w:ascii="Google Sans" w:cs="Google Sans" w:eastAsia="Google Sans" w:hAnsi="Google Sans"/>
                <w:color w:val="1f1f1f"/>
                <w:shd w:fill="auto" w:val="clear"/>
                <w:rtl w:val="0"/>
              </w:rPr>
              <w:t xml:space="preserve"> (N02BE01)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Avoid NSAIDs. Acetaminophen is the preferred non-interacting analgesic.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Warfarin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B01AA03 (Anticoagulant)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Reduced efficacy due to St. John's Wort. </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Apixaban</w:t>
            </w:r>
            <w:r w:rsidDel="00000000" w:rsidR="00000000" w:rsidRPr="00000000">
              <w:rPr>
                <w:rFonts w:ascii="Google Sans" w:cs="Google Sans" w:eastAsia="Google Sans" w:hAnsi="Google Sans"/>
                <w:color w:val="1f1f1f"/>
                <w:shd w:fill="auto" w:val="clear"/>
                <w:rtl w:val="0"/>
              </w:rPr>
              <w:t xml:space="preserve"> (B01AF02)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Consider switching to a DOAC if clinically appropriate to reduce CYP450 sensitivity.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Omeprazole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A02BC01 (PPI)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Inhibits Clopidogrel activation (CYP2C19).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Pantoprazole</w:t>
            </w:r>
            <w:r w:rsidDel="00000000" w:rsidR="00000000" w:rsidRPr="00000000">
              <w:rPr>
                <w:rFonts w:ascii="Google Sans" w:cs="Google Sans" w:eastAsia="Google Sans" w:hAnsi="Google Sans"/>
                <w:color w:val="1f1f1f"/>
                <w:shd w:fill="auto" w:val="clear"/>
                <w:rtl w:val="0"/>
              </w:rPr>
              <w:t xml:space="preserve"> (A02BC02)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Pantoprazole has a significantly lower potential for CYP2C19 interaction.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Simvastatin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C10AA01 (Statin)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Toxicity risk with Clarithromycin (CYP3A4).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Rosuvastatin</w:t>
            </w:r>
            <w:r w:rsidDel="00000000" w:rsidR="00000000" w:rsidRPr="00000000">
              <w:rPr>
                <w:rFonts w:ascii="Google Sans" w:cs="Google Sans" w:eastAsia="Google Sans" w:hAnsi="Google Sans"/>
                <w:color w:val="1f1f1f"/>
                <w:shd w:fill="auto" w:val="clear"/>
                <w:rtl w:val="0"/>
              </w:rPr>
              <w:t xml:space="preserve"> (C10AA07)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Rosuvastatin is not extensively metabolized by CYP3A4.</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suggesting these alternatives, the system preserves physician autonomy while encouraging adherence to evidence-based guidelines and hospital formularies.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 evaluation studies, similar automated switching tools were able to handle over ninety percent of medication consultations automatically, leaving only eight percent for manual professional processing.</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Implementation and Data Architecture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PharmaGuard's production-grade reliability is achieved through a layered hybrid architecture that separates real-time transactional needs from high-volume analytical and audit requirements.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is built on a Node.js Express API, which interacts with three distinct data stores to optimize for latency, consistency, and scalability.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Storage and Integrity (Supabase/PostgreSQL)</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relational store is Supabase (PostgreSQL 15), which manages the patient's active state, including prescriptions, drug catalogs, and patient profiles.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schema follows 3NF normalization to ensure that pharmaceutical data is stored without redundancy.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SQL</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Core Prescription Schema</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TABLE</w:t>
      </w:r>
      <w:r w:rsidDel="00000000" w:rsidR="00000000" w:rsidRPr="00000000">
        <w:rPr>
          <w:rFonts w:ascii="Google Sans" w:cs="Google Sans" w:eastAsia="Google Sans" w:hAnsi="Google Sans"/>
          <w:color w:val="1f1f1f"/>
          <w:shd w:fill="f0f4f9" w:val="clear"/>
          <w:rtl w:val="0"/>
        </w:rPr>
        <w:t xml:space="preserve"> prescriptions (</w:t>
        <w:br w:type="textWrapping"/>
        <w:t xml:space="preserve">  id UUID </w:t>
      </w:r>
      <w:r w:rsidDel="00000000" w:rsidR="00000000" w:rsidRPr="00000000">
        <w:rPr>
          <w:rFonts w:ascii="Google Sans" w:cs="Google Sans" w:eastAsia="Google Sans" w:hAnsi="Google Sans"/>
          <w:i w:val="0"/>
          <w:iCs w:val="0"/>
          <w:color w:val="8430ce"/>
          <w:sz w:val="20"/>
          <w:szCs w:val="20"/>
          <w:shd w:fill="f0f4f9" w:val="clear"/>
          <w:rtl w:val="0"/>
        </w:rPr>
        <w:t xml:space="preserve">PRIMARY</w:t>
      </w:r>
      <w:r w:rsidDel="00000000" w:rsidR="00000000" w:rsidRPr="00000000">
        <w:rPr>
          <w:rFonts w:ascii="Google Sans" w:cs="Google Sans" w:eastAsia="Google Sans" w:hAnsi="Google Sans"/>
          <w:color w:val="1f1f1f"/>
          <w:shd w:fill="f0f4f9" w:val="clear"/>
          <w:rtl w:val="0"/>
        </w:rPr>
        <w:t xml:space="preserve"> KEY </w:t>
      </w:r>
      <w:r w:rsidDel="00000000" w:rsidR="00000000" w:rsidRPr="00000000">
        <w:rPr>
          <w:rFonts w:ascii="Google Sans" w:cs="Google Sans" w:eastAsia="Google Sans" w:hAnsi="Google Sans"/>
          <w:i w:val="0"/>
          <w:iCs w:val="0"/>
          <w:color w:val="8430ce"/>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t xml:space="preserve"> uuid_generate_v4(),</w:t>
        <w:br w:type="textWrapping"/>
        <w:t xml:space="preserve">  patient_id UUID </w:t>
      </w:r>
      <w:r w:rsidDel="00000000" w:rsidR="00000000" w:rsidRPr="00000000">
        <w:rPr>
          <w:rFonts w:ascii="Google Sans" w:cs="Google Sans" w:eastAsia="Google Sans" w:hAnsi="Google Sans"/>
          <w:i w:val="0"/>
          <w:iCs w:val="0"/>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patients(id),</w:t>
        <w:br w:type="textWrapping"/>
        <w:t xml:space="preserve">  doctor_id UUID </w:t>
      </w:r>
      <w:r w:rsidDel="00000000" w:rsidR="00000000" w:rsidRPr="00000000">
        <w:rPr>
          <w:rFonts w:ascii="Google Sans" w:cs="Google Sans" w:eastAsia="Google Sans" w:hAnsi="Google Sans"/>
          <w:i w:val="0"/>
          <w:iCs w:val="0"/>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doctors(id),</w:t>
        <w:br w:type="textWrapping"/>
        <w:t xml:space="preserve">  status TEXT </w:t>
      </w:r>
      <w:r w:rsidDel="00000000" w:rsidR="00000000" w:rsidRPr="00000000">
        <w:rPr>
          <w:rFonts w:ascii="Google Sans" w:cs="Google Sans" w:eastAsia="Google Sans" w:hAnsi="Google Sans"/>
          <w:i w:val="0"/>
          <w:iCs w:val="0"/>
          <w:color w:val="8430ce"/>
          <w:sz w:val="20"/>
          <w:szCs w:val="20"/>
          <w:shd w:fill="f0f4f9" w:val="clear"/>
          <w:rtl w:val="0"/>
        </w:rPr>
        <w:t xml:space="preserve">CHECK</w:t>
      </w:r>
      <w:r w:rsidDel="00000000" w:rsidR="00000000" w:rsidRPr="00000000">
        <w:rPr>
          <w:rFonts w:ascii="Google Sans" w:cs="Google Sans" w:eastAsia="Google Sans" w:hAnsi="Google Sans"/>
          <w:color w:val="1f1f1f"/>
          <w:shd w:fill="f0f4f9" w:val="clear"/>
          <w:rtl w:val="0"/>
        </w:rPr>
        <w:t xml:space="preserve"> (status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'draft'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'active'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'archived'</w:t>
      </w:r>
      <w:r w:rsidDel="00000000" w:rsidR="00000000" w:rsidRPr="00000000">
        <w:rPr>
          <w:rFonts w:ascii="Google Sans" w:cs="Google Sans" w:eastAsia="Google Sans" w:hAnsi="Google Sans"/>
          <w:color w:val="1f1f1f"/>
          <w:shd w:fill="f0f4f9" w:val="clear"/>
          <w:rtl w:val="0"/>
        </w:rPr>
        <w:t xml:space="preserve">)),</w:t>
        <w:br w:type="textWrapping"/>
        <w:t xml:space="preserve">  created_at </w:t>
      </w:r>
      <w:r w:rsidDel="00000000" w:rsidR="00000000" w:rsidRPr="00000000">
        <w:rPr>
          <w:rFonts w:ascii="Google Sans" w:cs="Google Sans" w:eastAsia="Google Sans" w:hAnsi="Google Sans"/>
          <w:i w:val="0"/>
          <w:iCs w:val="0"/>
          <w:color w:val="8430ce"/>
          <w:sz w:val="20"/>
          <w:szCs w:val="20"/>
          <w:shd w:fill="f0f4f9" w:val="clear"/>
          <w:rtl w:val="0"/>
        </w:rPr>
        <w:t xml:space="preserve">TIMESTAMP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TIME</w:t>
      </w:r>
      <w:r w:rsidDel="00000000" w:rsidR="00000000" w:rsidRPr="00000000">
        <w:rPr>
          <w:rFonts w:ascii="Google Sans" w:cs="Google Sans" w:eastAsia="Google Sans" w:hAnsi="Google Sans"/>
          <w:color w:val="1f1f1f"/>
          <w:shd w:fill="f0f4f9" w:val="clear"/>
          <w:rtl w:val="0"/>
        </w:rPr>
        <w:t xml:space="preserve"> ZONE </w:t>
      </w:r>
      <w:r w:rsidDel="00000000" w:rsidR="00000000" w:rsidRPr="00000000">
        <w:rPr>
          <w:rFonts w:ascii="Google Sans" w:cs="Google Sans" w:eastAsia="Google Sans" w:hAnsi="Google Sans"/>
          <w:i w:val="0"/>
          <w:iCs w:val="0"/>
          <w:color w:val="8430ce"/>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t xml:space="preserve"> NOW(),</w:t>
        <w:br w:type="textWrapping"/>
        <w:t xml:space="preserve">  deleted_at </w:t>
      </w:r>
      <w:r w:rsidDel="00000000" w:rsidR="00000000" w:rsidRPr="00000000">
        <w:rPr>
          <w:rFonts w:ascii="Google Sans" w:cs="Google Sans" w:eastAsia="Google Sans" w:hAnsi="Google Sans"/>
          <w:i w:val="0"/>
          <w:iCs w:val="0"/>
          <w:color w:val="8430ce"/>
          <w:sz w:val="20"/>
          <w:szCs w:val="20"/>
          <w:shd w:fill="f0f4f9" w:val="clear"/>
          <w:rtl w:val="0"/>
        </w:rPr>
        <w:t xml:space="preserve">TIMESTAMP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TIME</w:t>
      </w:r>
      <w:r w:rsidDel="00000000" w:rsidR="00000000" w:rsidRPr="00000000">
        <w:rPr>
          <w:rFonts w:ascii="Google Sans" w:cs="Google Sans" w:eastAsia="Google Sans" w:hAnsi="Google Sans"/>
          <w:color w:val="1f1f1f"/>
          <w:shd w:fill="f0f4f9" w:val="clear"/>
          <w:rtl w:val="0"/>
        </w:rPr>
        <w:t xml:space="preserve"> ZONE </w:t>
      </w:r>
      <w:r w:rsidDel="00000000" w:rsidR="00000000" w:rsidRPr="00000000">
        <w:rPr>
          <w:rFonts w:ascii="Google Sans" w:cs="Google Sans" w:eastAsia="Google Sans" w:hAnsi="Google Sans"/>
          <w:i w:val="0"/>
          <w:iCs w:val="0"/>
          <w:color w:val="5f6368"/>
          <w:sz w:val="20"/>
          <w:szCs w:val="20"/>
          <w:shd w:fill="f0f4f9" w:val="clear"/>
          <w:rtl w:val="0"/>
        </w:rPr>
        <w:t xml:space="preserve">-- Soft delete for HIPAA compliance</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Prescription-Drug Junction with metadata</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TABLE</w:t>
      </w:r>
      <w:r w:rsidDel="00000000" w:rsidR="00000000" w:rsidRPr="00000000">
        <w:rPr>
          <w:rFonts w:ascii="Google Sans" w:cs="Google Sans" w:eastAsia="Google Sans" w:hAnsi="Google Sans"/>
          <w:color w:val="1f1f1f"/>
          <w:shd w:fill="f0f4f9" w:val="clear"/>
          <w:rtl w:val="0"/>
        </w:rPr>
        <w:t xml:space="preserve"> prescription_drugs (</w:t>
        <w:br w:type="textWrapping"/>
        <w:t xml:space="preserve">  id UUID </w:t>
      </w:r>
      <w:r w:rsidDel="00000000" w:rsidR="00000000" w:rsidRPr="00000000">
        <w:rPr>
          <w:rFonts w:ascii="Google Sans" w:cs="Google Sans" w:eastAsia="Google Sans" w:hAnsi="Google Sans"/>
          <w:i w:val="0"/>
          <w:iCs w:val="0"/>
          <w:color w:val="8430ce"/>
          <w:sz w:val="20"/>
          <w:szCs w:val="20"/>
          <w:shd w:fill="f0f4f9" w:val="clear"/>
          <w:rtl w:val="0"/>
        </w:rPr>
        <w:t xml:space="preserve">PRIMARY</w:t>
      </w:r>
      <w:r w:rsidDel="00000000" w:rsidR="00000000" w:rsidRPr="00000000">
        <w:rPr>
          <w:rFonts w:ascii="Google Sans" w:cs="Google Sans" w:eastAsia="Google Sans" w:hAnsi="Google Sans"/>
          <w:color w:val="1f1f1f"/>
          <w:shd w:fill="f0f4f9" w:val="clear"/>
          <w:rtl w:val="0"/>
        </w:rPr>
        <w:t xml:space="preserve"> KEY,</w:t>
        <w:br w:type="textWrapping"/>
        <w:t xml:space="preserve">  prescription_id UUID </w:t>
      </w:r>
      <w:r w:rsidDel="00000000" w:rsidR="00000000" w:rsidRPr="00000000">
        <w:rPr>
          <w:rFonts w:ascii="Google Sans" w:cs="Google Sans" w:eastAsia="Google Sans" w:hAnsi="Google Sans"/>
          <w:i w:val="0"/>
          <w:iCs w:val="0"/>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prescriptions(id),</w:t>
        <w:br w:type="textWrapping"/>
        <w:t xml:space="preserve">  drug_id UUID </w:t>
      </w:r>
      <w:r w:rsidDel="00000000" w:rsidR="00000000" w:rsidRPr="00000000">
        <w:rPr>
          <w:rFonts w:ascii="Google Sans" w:cs="Google Sans" w:eastAsia="Google Sans" w:hAnsi="Google Sans"/>
          <w:i w:val="0"/>
          <w:iCs w:val="0"/>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drugs(id),</w:t>
        <w:br w:type="textWrapping"/>
        <w:t xml:space="preserve">  dosage_instruction TEXT,</w:t>
        <w:br w:type="textWrapping"/>
        <w:t xml:space="preserve">  route_of_administration TEXT,</w:t>
        <w:br w:type="textWrapping"/>
        <w:t xml:space="preserve">  added_at </w:t>
      </w:r>
      <w:r w:rsidDel="00000000" w:rsidR="00000000" w:rsidRPr="00000000">
        <w:rPr>
          <w:rFonts w:ascii="Google Sans" w:cs="Google Sans" w:eastAsia="Google Sans" w:hAnsi="Google Sans"/>
          <w:i w:val="0"/>
          <w:iCs w:val="0"/>
          <w:color w:val="8430ce"/>
          <w:sz w:val="20"/>
          <w:szCs w:val="20"/>
          <w:shd w:fill="f0f4f9" w:val="clear"/>
          <w:rtl w:val="0"/>
        </w:rPr>
        <w:t xml:space="preserve">TIMESTAMP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TIME</w:t>
      </w:r>
      <w:r w:rsidDel="00000000" w:rsidR="00000000" w:rsidRPr="00000000">
        <w:rPr>
          <w:rFonts w:ascii="Google Sans" w:cs="Google Sans" w:eastAsia="Google Sans" w:hAnsi="Google Sans"/>
          <w:color w:val="1f1f1f"/>
          <w:shd w:fill="f0f4f9" w:val="clear"/>
          <w:rtl w:val="0"/>
        </w:rPr>
        <w:t xml:space="preserve"> ZONE </w:t>
      </w:r>
      <w:r w:rsidDel="00000000" w:rsidR="00000000" w:rsidRPr="00000000">
        <w:rPr>
          <w:rFonts w:ascii="Google Sans" w:cs="Google Sans" w:eastAsia="Google Sans" w:hAnsi="Google Sans"/>
          <w:i w:val="0"/>
          <w:iCs w:val="0"/>
          <w:color w:val="8430ce"/>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t xml:space="preserve"> NOW()</w:t>
        <w:br w:type="textWrapping"/>
        <w:t xml:space="preserve">);</w:t>
        <w:br w:type="textWrapping"/>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Supabase RLS (Row Level Security) is used to enforce strict data isolation.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example, a doctor can only perform CRUD operations on prescriptions where doctor_id = auth.uid(), while patients can only view their own records.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that even if a session is compromised, the blast radius is limited to the individual user's authorized scope.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High-Volume Event Sourcing and Audit (Apache Cassandra)</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high-volume event data—such as every PHI access attempt, alert generation, and user login—PharmaGuard utilizes Apache Cassandra 4.x.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Cassandra’s linear write scalability and time-series optimization make it the ideal store for HIPAA-compliant audit trails.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HIPAA regulations, these logs must be protected from tampering and retained for at least six years.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PharmaGuard implements an "Audit Ledger" using a hash chain mechanism.</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As events are ingested into Cassandra, each new record contains a hash of the previous record, creating an immutable cryptographic chain.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ensures that any attempt to delete or alter a past log entry will invalidate the subsequent hashes, making the audit trail verifiable and tamper-evident.</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Cassandra 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Partition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Clustering Column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TTL Policy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interaction_alert_logs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hospital_id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created_at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180 days (Primary); archived to cold storage.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phi_access_audit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patient_id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occurred_at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 years (Mandatory retention).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interaction_analytics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drug_pair_key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occurred_at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Indefinite; for trend analysis.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user_session_logs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login_at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90 days. </w:t>
            </w:r>
            <w:r w:rsidDel="00000000" w:rsidR="00000000" w:rsidRPr="00000000">
              <w:rPr>
                <w:rFonts w:ascii="Google Sans" w:cs="Google Sans" w:eastAsia="Google Sans" w:hAnsi="Google Sans"/>
                <w:color w:val="444746"/>
                <w:sz w:val="24"/>
                <w:szCs w:val="24"/>
                <w:vertAlign w:val="superscript"/>
                <w:rtl w:val="0"/>
              </w:rPr>
              <w:t xml:space="preserve">41</w:t>
            </w:r>
          </w:p>
        </w:tc>
      </w:tr>
    </w:tbl>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manage the massive throughput of a multi-hospital deployment, the Cassandra driver is configured for asynchronous query execution.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This allows the Node.js API to process thousands of events per second without being blocked by database write latency.</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Furthermore, the TimeWindowCompactionStrategy (TWCS) is applied to audit tables, which optimizes disk usage for data that is written in time-ordered sequence and eventually expires.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Frontend Architecture and Design System</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presentation layer of PharmaGuard is a Flutter 3 application designed for cross-platform availability across mobile, tablet, and web.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 clinical setting, where hardware can range from high-resolution workstations to mobile tablets, the UI must be responsive and highly accessible.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PharmaGuard utilizes Riverpod for state management, providing a compile-safe, async-first approach to handling complex prescription building workflows.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Material 3 and Design Tokens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system's visual identity is governed by a Material 3 design system, which uses "Design Tokens"—named variables that store stylistic values like color roles and typographic scales.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These tokens act as a single source of truth, ensuring that the primary "Clinical Green" (Hex #2E7D32) is used consistently across both the designer's mock-ups and the developer's implementation.</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Token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Token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Mapping /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Color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md.sys.color.primary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#2E7D32 (Green)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Active states; "Safe" status indicators.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Color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md.sys.color.error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#D32F2F (Red)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High-severity alerts; contraindications.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Color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md.sys.color.warning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#FF7043 (Orange)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interaction warnings.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Typography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md.sys.typescale.body-large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16px Inter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Minimum size for body copy to ensure legibility. </w:t>
            </w:r>
            <w:r w:rsidDel="00000000" w:rsidR="00000000" w:rsidRPr="00000000">
              <w:rPr>
                <w:rFonts w:ascii="Google Sans" w:cs="Google Sans" w:eastAsia="Google Sans" w:hAnsi="Google Sans"/>
                <w:color w:val="444746"/>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Spacing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md.sys.spacing.tight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Gaps between related drug chips. </w:t>
            </w:r>
            <w:r w:rsidDel="00000000" w:rsidR="00000000" w:rsidRPr="00000000">
              <w:rPr>
                <w:rFonts w:ascii="Google Sans" w:cs="Google Sans" w:eastAsia="Google Sans" w:hAnsi="Google Sans"/>
                <w:color w:val="444746"/>
                <w:sz w:val="24"/>
                <w:szCs w:val="24"/>
                <w:vertAlign w:val="superscript"/>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md.sys.elevation.level-2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Tonal Surface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Distinguishing the interaction panel from background. </w:t>
            </w:r>
            <w:r w:rsidDel="00000000" w:rsidR="00000000" w:rsidRPr="00000000">
              <w:rPr>
                <w:rFonts w:ascii="Google Sans" w:cs="Google Sans" w:eastAsia="Google Sans" w:hAnsi="Google Sans"/>
                <w:color w:val="444746"/>
                <w:sz w:val="24"/>
                <w:szCs w:val="24"/>
                <w:vertAlign w:val="superscript"/>
                <w:rtl w:val="0"/>
              </w:rPr>
              <w:t xml:space="preserve">56</w:t>
            </w:r>
          </w:p>
        </w:tc>
      </w:tr>
    </w:tbl>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Material 3's use of the HCT color space algorithmically ensures accessible contrast ratios.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For instance, small text must maintain a 4.5:1 contrast against its background, a requirement that PharmaGuard enforces through its token system.</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This is particularly vital in medical dashboards where subtle color differences can represent critical safety levels.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Responsive Dashboard and Visualizations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PharmaGuard dashboard provides real-time visibility into safety metrics using the fl_chart library.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visualizations are not merely decorative but serve to identify systemic risks within a hospital unit.</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Trend Monitoring:</w:t>
      </w:r>
      <w:r w:rsidDel="00000000" w:rsidR="00000000" w:rsidRPr="00000000">
        <w:rPr>
          <w:rFonts w:ascii="Google Sans" w:cs="Google Sans" w:eastAsia="Google Sans" w:hAnsi="Google Sans"/>
          <w:color w:val="1f1f1f"/>
          <w:rtl w:val="0"/>
        </w:rPr>
        <w:t xml:space="preserve"> A LineChart displays the 30-day weekly alert trend, allowing administrators to monitor if new clinical protocols are effectively reducing interaction volume.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Risk Distribution:</w:t>
      </w:r>
      <w:r w:rsidDel="00000000" w:rsidR="00000000" w:rsidRPr="00000000">
        <w:rPr>
          <w:rFonts w:ascii="Google Sans" w:cs="Google Sans" w:eastAsia="Google Sans" w:hAnsi="Google Sans"/>
          <w:color w:val="1f1f1f"/>
          <w:rtl w:val="0"/>
        </w:rPr>
        <w:t xml:space="preserve"> A BarChart tracks the top five most frequent dangerous drug pairs, helping pharmacists focus their educational efforts on specific pharmaceutical combinations.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Real-Time Streams:</w:t>
      </w:r>
      <w:r w:rsidDel="00000000" w:rsidR="00000000" w:rsidRPr="00000000">
        <w:rPr>
          <w:rFonts w:ascii="Google Sans" w:cs="Google Sans" w:eastAsia="Google Sans" w:hAnsi="Google Sans"/>
          <w:color w:val="1f1f1f"/>
          <w:rtl w:val="0"/>
        </w:rPr>
        <w:t xml:space="preserve"> By subscribing to Supabase real-time streams, the dashboard updates dynamically as prescriptions are written, providing an instantaneous view of hospital-wide safety status.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HIPAA Compliance, and HIPAA Best Practices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 clinical system handling Protected Health Information (PHI), PharmaGuard must adhere to the highest standards of digital security.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involves not only technical safeguards but also administrative and physical controls defined by the HIPAA Security Rule.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Authentication and Access Control</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PharmaGuard utilizes Supabase Auth for identity management, implementing JWT-based authentication with one-hour token expiration.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Role-Based Access Control (RBAC) is enforced at the API layer using Express middleware, ensuring that only users with the doctor or admin role can access sensitive endpoints like /prescriptions.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unauthorized access to specific patient records, the system leverages PostgreSQL Row Level Security (RLS).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that even if a physician's account is compromised, the attacker can only access data for patients currently assigned to that physician, preventing bulk data exfiltration.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HIPAA Alignment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Authentication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Supabase Auth (JWT)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1-hour expiry; refresh token rotation.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Unique user identification.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Node.js RBAC + DB RLS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Path-level and row-level filtering.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Minimum necessary access.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in Transit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TLS 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Mandatory encryption for all API/DB traffic.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Transmission security.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at 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AES-256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Transparent Data Encryption (TDE) in Supabase.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Storage security.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Cassandra Audit Ledger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Immutable, hash-chained logs of all ePHI access. </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Audit controls. </w:t>
            </w:r>
            <w:r w:rsidDel="00000000" w:rsidR="00000000" w:rsidRPr="00000000">
              <w:rPr>
                <w:rFonts w:ascii="Google Sans" w:cs="Google Sans" w:eastAsia="Google Sans" w:hAnsi="Google Sans"/>
                <w:color w:val="444746"/>
                <w:sz w:val="24"/>
                <w:szCs w:val="24"/>
                <w:vertAlign w:val="superscript"/>
                <w:rtl w:val="0"/>
              </w:rPr>
              <w:t xml:space="preserve">40</w:t>
            </w:r>
          </w:p>
        </w:tc>
      </w:tr>
    </w:tbl>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 Trail Integrity and SIEM Integration</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HIPAA Security Rule requires regular review of information system activity.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PharmaGuard facilitates this by streaming its Cassandra audit logs to a Security Information and Event Management (SIEM) platform in real time.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allows security teams to configure automated alerts for suspicious patterns, such as multiple failed login attempts within a short window or unusual bulk exports of patient data from unrecognized devices.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audit logs include unique user identifiers, timestamps with millisecond precision (synchronized via NTP), and the specific CQL command executed, ensuring that any clinical event can be reconstructed for forensic investigation.</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Operations and Deployment Architecture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production environment for PharmaGuard is designed for extreme resilience and horizontal scalability. The system is deployed as a suite of microservices within a Kubernetes (K8s) cluster, utilizing Horizontal Pod Autoscaling (HPA) to maintain performance during peak clinical hours.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and CI/CD Pipeline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follows a strictly segregated environment strategy (Development, Staging, Production).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CI/CD pipelines are managed via GitHub Actions, which execute a multi-stage validation process before any code reaches the production cluster.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Validation Stage:</w:t>
      </w:r>
      <w:r w:rsidDel="00000000" w:rsidR="00000000" w:rsidRPr="00000000">
        <w:rPr>
          <w:rFonts w:ascii="Google Sans" w:cs="Google Sans" w:eastAsia="Google Sans" w:hAnsi="Google Sans"/>
          <w:color w:val="1f1f1f"/>
          <w:rtl w:val="0"/>
        </w:rPr>
        <w:t xml:space="preserve"> Linting and unit testing of Node.js services and Flutter components; schema validation via Zod.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Integration Stage:</w:t>
      </w:r>
      <w:r w:rsidDel="00000000" w:rsidR="00000000" w:rsidRPr="00000000">
        <w:rPr>
          <w:rFonts w:ascii="Google Sans" w:cs="Google Sans" w:eastAsia="Google Sans" w:hAnsi="Google Sans"/>
          <w:color w:val="1f1f1f"/>
          <w:rtl w:val="0"/>
        </w:rPr>
        <w:t xml:space="preserve"> Spin up temporary Docker containers for PostgreSQL and Cassandra to execute full-stack integration tests.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Build Stage:</w:t>
      </w:r>
      <w:r w:rsidDel="00000000" w:rsidR="00000000" w:rsidRPr="00000000">
        <w:rPr>
          <w:rFonts w:ascii="Google Sans" w:cs="Google Sans" w:eastAsia="Google Sans" w:hAnsi="Google Sans"/>
          <w:color w:val="1f1f1f"/>
          <w:rtl w:val="0"/>
        </w:rPr>
        <w:t xml:space="preserve"> Compile Flutter web/mobile assets and build OCI-compliant Docker images for the API.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Deployment Stage:</w:t>
      </w:r>
      <w:r w:rsidDel="00000000" w:rsidR="00000000" w:rsidRPr="00000000">
        <w:rPr>
          <w:rFonts w:ascii="Google Sans" w:cs="Google Sans" w:eastAsia="Google Sans" w:hAnsi="Google Sans"/>
          <w:color w:val="1f1f1f"/>
          <w:rtl w:val="0"/>
        </w:rPr>
        <w:t xml:space="preserve"> Perform a rolling update to the Kubernetes cluster, ensuring zero downtime for the interaction engine.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Availability and Monitoring</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monitors its own "health" using Prometheus for metric gathering and Grafana for visualization.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Critical KPIs—such as interaction detection latency (p95 &lt; 500ms), API error rates, and Cassandra node health—are tracked in real 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ensure 99.9% availability, the database clusters are configured with multiple replicas across different physical availability zones, providing fault tolerance in the event of a localized data center failure.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PharmaGuard represents a paradigm shift in prescription safety. By integrating the rigorous chemical analysis of ingredient-level interaction checking with the structural integrity of Domain-Driven Design and the scalability of a distributed NoSQL architecture, the system provides an "intelligent guardian" for both clinicians and patients.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healthcare moves toward a more personalized and evidence-based future, tools like PharmaGuard will be essential in ensuring that the benefits of modern pharmacotherapy are delivered without the risk of preventable medication errors.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DesignDoc_DrugInteractionSystem.docx</w:t>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shared clinical decision support to reduce adverse drug events and improve patient safety - Frontiers, accessed on March 11, 2026, </w:t>
      </w:r>
      <w:hyperlink r:id="rId24">
        <w:r w:rsidDel="00000000" w:rsidR="00000000" w:rsidRPr="00000000">
          <w:rPr>
            <w:rFonts w:ascii="Google Sans" w:cs="Google Sans" w:eastAsia="Google Sans" w:hAnsi="Google Sans"/>
            <w:color w:val="0000ee"/>
            <w:sz w:val="24"/>
            <w:szCs w:val="24"/>
            <w:u w:val="single"/>
            <w:rtl w:val="0"/>
          </w:rPr>
          <w:t xml:space="preserve">https://www.frontiersin.org/journals/digital-health/articles/10.3389/fdgth.2025.1703141/full</w:t>
        </w:r>
      </w:hyperlink>
      <w:r w:rsidDel="00000000" w:rsidR="00000000" w:rsidRPr="00000000">
        <w:rPr>
          <w:rtl w:val="0"/>
        </w:rPr>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Computerized Clinical Decision Support To Prevent Medication Errors and Adverse Drug Events - Making Healthcare Safer IV - NCBI, accessed on March 11, 2026, </w:t>
      </w:r>
      <w:hyperlink r:id="rId25">
        <w:r w:rsidDel="00000000" w:rsidR="00000000" w:rsidRPr="00000000">
          <w:rPr>
            <w:rFonts w:ascii="Google Sans" w:cs="Google Sans" w:eastAsia="Google Sans" w:hAnsi="Google Sans"/>
            <w:color w:val="0000ee"/>
            <w:sz w:val="24"/>
            <w:szCs w:val="24"/>
            <w:u w:val="single"/>
            <w:rtl w:val="0"/>
          </w:rPr>
          <w:t xml:space="preserve">https://www.ncbi.nlm.nih.gov/books/NBK600580/</w:t>
        </w:r>
      </w:hyperlink>
      <w:r w:rsidDel="00000000" w:rsidR="00000000" w:rsidRPr="00000000">
        <w:rPr>
          <w:rtl w:val="0"/>
        </w:rPr>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Practical Guide to Clinical Decision Support Systems - Bridge Global, accessed on March 11, 2026, </w:t>
      </w:r>
      <w:hyperlink r:id="rId26">
        <w:r w:rsidDel="00000000" w:rsidR="00000000" w:rsidRPr="00000000">
          <w:rPr>
            <w:rFonts w:ascii="Google Sans" w:cs="Google Sans" w:eastAsia="Google Sans" w:hAnsi="Google Sans"/>
            <w:color w:val="0000ee"/>
            <w:sz w:val="24"/>
            <w:szCs w:val="24"/>
            <w:u w:val="single"/>
            <w:rtl w:val="0"/>
          </w:rPr>
          <w:t xml:space="preserve">https://www.bridge-global.com/blog/clinical-decision-support-systems/</w:t>
        </w:r>
      </w:hyperlink>
      <w:r w:rsidDel="00000000" w:rsidR="00000000" w:rsidRPr="00000000">
        <w:rPr>
          <w:rtl w:val="0"/>
        </w:rPr>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in Clinical Decision Support: The Case of Preventive Care Reminders - PMC, accessed on March 11,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https://pmc.ncbi.nlm.nih.gov/articles/PMC3189503/</w:t>
        </w:r>
      </w:hyperlink>
      <w:r w:rsidDel="00000000" w:rsidR="00000000" w:rsidRPr="00000000">
        <w:rPr>
          <w:rtl w:val="0"/>
        </w:rPr>
      </w:r>
    </w:p>
    <w:p w:rsidR="00000000" w:rsidDel="00000000" w:rsidP="00000000" w:rsidRDefault="00000000" w:rsidRPr="00000000" w14:paraId="000001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Domain Analysis to Model Microservices - Azure Architecture Center | Microsoft Learn, accessed on March 11, 2026, </w:t>
      </w:r>
      <w:hyperlink r:id="rId28">
        <w:r w:rsidDel="00000000" w:rsidR="00000000" w:rsidRPr="00000000">
          <w:rPr>
            <w:rFonts w:ascii="Google Sans" w:cs="Google Sans" w:eastAsia="Google Sans" w:hAnsi="Google Sans"/>
            <w:color w:val="0000ee"/>
            <w:sz w:val="24"/>
            <w:szCs w:val="24"/>
            <w:u w:val="single"/>
            <w:rtl w:val="0"/>
          </w:rPr>
          <w:t xml:space="preserve">https://learn.microsoft.com/en-us/azure/architecture/microservices/model/domain-analysis</w:t>
        </w:r>
      </w:hyperlink>
      <w:r w:rsidDel="00000000" w:rsidR="00000000" w:rsidRPr="00000000">
        <w:rPr>
          <w:rtl w:val="0"/>
        </w:rPr>
      </w:r>
    </w:p>
    <w:p w:rsidR="00000000" w:rsidDel="00000000" w:rsidP="00000000" w:rsidRDefault="00000000" w:rsidRPr="00000000" w14:paraId="000001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Domain-Driven Design (DDD) in Microservices Environment | by Ahmet Temel Kundupoglu, accessed on March 11, 2026, </w:t>
      </w:r>
      <w:hyperlink r:id="rId29">
        <w:r w:rsidDel="00000000" w:rsidR="00000000" w:rsidRPr="00000000">
          <w:rPr>
            <w:rFonts w:ascii="Google Sans" w:cs="Google Sans" w:eastAsia="Google Sans" w:hAnsi="Google Sans"/>
            <w:color w:val="0000ee"/>
            <w:sz w:val="24"/>
            <w:szCs w:val="24"/>
            <w:u w:val="single"/>
            <w:rtl w:val="0"/>
          </w:rPr>
          <w:t xml:space="preserve">https://medium.com/@ahmettemelkundupoglu/domain-driven-design-ddd-in-microservices-environment-2bfe05e5ccc1</w:t>
        </w:r>
      </w:hyperlink>
      <w:r w:rsidDel="00000000" w:rsidR="00000000" w:rsidRPr="00000000">
        <w:rPr>
          <w:rtl w:val="0"/>
        </w:rPr>
      </w:r>
    </w:p>
    <w:p w:rsidR="00000000" w:rsidDel="00000000" w:rsidP="00000000" w:rsidRDefault="00000000" w:rsidRPr="00000000" w14:paraId="000001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Bounded Context - martinfowler.com, accessed on March 11, 2026, </w:t>
      </w:r>
      <w:hyperlink r:id="rId30">
        <w:r w:rsidDel="00000000" w:rsidR="00000000" w:rsidRPr="00000000">
          <w:rPr>
            <w:rFonts w:ascii="Google Sans" w:cs="Google Sans" w:eastAsia="Google Sans" w:hAnsi="Google Sans"/>
            <w:color w:val="0000ee"/>
            <w:sz w:val="24"/>
            <w:szCs w:val="24"/>
            <w:u w:val="single"/>
            <w:rtl w:val="0"/>
          </w:rPr>
          <w:t xml:space="preserve">https://martinfowler.com/bliki/BoundedContext.html</w:t>
        </w:r>
      </w:hyperlink>
      <w:r w:rsidDel="00000000" w:rsidR="00000000" w:rsidRPr="00000000">
        <w:rPr>
          <w:rtl w:val="0"/>
        </w:rPr>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Good to Excellent in DDD: Understanding Bounded Contexts in Domain-Driven Design - 8/10 | Kranio, accessed on March 11, 2026, </w:t>
      </w:r>
      <w:hyperlink r:id="rId31">
        <w:r w:rsidDel="00000000" w:rsidR="00000000" w:rsidRPr="00000000">
          <w:rPr>
            <w:rFonts w:ascii="Google Sans" w:cs="Google Sans" w:eastAsia="Google Sans" w:hAnsi="Google Sans"/>
            <w:color w:val="0000ee"/>
            <w:sz w:val="24"/>
            <w:szCs w:val="24"/>
            <w:u w:val="single"/>
            <w:rtl w:val="0"/>
          </w:rPr>
          <w:t xml:space="preserve">https://www.kranio.io/en/blog/from-good-to-excellent-in-ddd-understanding-bounded-contexts-in-domain-driven-design-810</w:t>
        </w:r>
      </w:hyperlink>
      <w:r w:rsidDel="00000000" w:rsidR="00000000" w:rsidRPr="00000000">
        <w:rPr>
          <w:rtl w:val="0"/>
        </w:rPr>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 Driven Design Best Practices - Duy Hiếu's Blog, accessed on March 11, 2026, </w:t>
      </w:r>
      <w:hyperlink r:id="rId32">
        <w:r w:rsidDel="00000000" w:rsidR="00000000" w:rsidRPr="00000000">
          <w:rPr>
            <w:rFonts w:ascii="Google Sans" w:cs="Google Sans" w:eastAsia="Google Sans" w:hAnsi="Google Sans"/>
            <w:color w:val="0000ee"/>
            <w:sz w:val="24"/>
            <w:szCs w:val="24"/>
            <w:u w:val="single"/>
            <w:rtl w:val="0"/>
          </w:rPr>
          <w:t xml:space="preserve">https://phamduyhieu.com/domain-driven-design-healthcare-platform-example</w:t>
        </w:r>
      </w:hyperlink>
      <w:r w:rsidDel="00000000" w:rsidR="00000000" w:rsidRPr="00000000">
        <w:rPr>
          <w:rtl w:val="0"/>
        </w:rPr>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Accurate prediction of drug combination risk levels based on ..., accessed on March 11,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https://pmc.ncbi.nlm.nih.gov/articles/PMC11180398/</w:t>
        </w:r>
      </w:hyperlink>
      <w:r w:rsidDel="00000000" w:rsidR="00000000" w:rsidRPr="00000000">
        <w:rPr>
          <w:rtl w:val="0"/>
        </w:rPr>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Analyzing U.S. prescription lists with RxNorm and the ATC/DDD Index - PMC, accessed on March 11,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https://pmc.ncbi.nlm.nih.gov/articles/PMC4419961/</w:t>
        </w:r>
      </w:hyperlink>
      <w:r w:rsidDel="00000000" w:rsidR="00000000" w:rsidRPr="00000000">
        <w:rPr>
          <w:rtl w:val="0"/>
        </w:rPr>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Apply Data Governance for Apache Cassandra Explained - DataSunrise, accessed on March 11, 2026, </w:t>
      </w:r>
      <w:hyperlink r:id="rId35">
        <w:r w:rsidDel="00000000" w:rsidR="00000000" w:rsidRPr="00000000">
          <w:rPr>
            <w:rFonts w:ascii="Google Sans" w:cs="Google Sans" w:eastAsia="Google Sans" w:hAnsi="Google Sans"/>
            <w:color w:val="0000ee"/>
            <w:sz w:val="24"/>
            <w:szCs w:val="24"/>
            <w:u w:val="single"/>
            <w:rtl w:val="0"/>
          </w:rPr>
          <w:t xml:space="preserve">https://www.datasunrise.com/knowledge-center/how-to-apply-data-governance-for-apache-cassandra/</w:t>
        </w:r>
      </w:hyperlink>
      <w:r w:rsidDel="00000000" w:rsidR="00000000" w:rsidRPr="00000000">
        <w:rPr>
          <w:rtl w:val="0"/>
        </w:rPr>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Domain-Driven Design: Bounded Contexts Explained! - YouTube, accessed on March 11,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https://www.youtube.com/watch?v=8SPVfacnFvM</w:t>
        </w:r>
      </w:hyperlink>
      <w:r w:rsidDel="00000000" w:rsidR="00000000" w:rsidRPr="00000000">
        <w:rPr>
          <w:rtl w:val="0"/>
        </w:rPr>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Bounded Context in Domain Driven Design - Stack Overflow, accessed on March 11, 2026, </w:t>
      </w:r>
      <w:hyperlink r:id="rId37">
        <w:r w:rsidDel="00000000" w:rsidR="00000000" w:rsidRPr="00000000">
          <w:rPr>
            <w:rFonts w:ascii="Google Sans" w:cs="Google Sans" w:eastAsia="Google Sans" w:hAnsi="Google Sans"/>
            <w:color w:val="0000ee"/>
            <w:sz w:val="24"/>
            <w:szCs w:val="24"/>
            <w:u w:val="single"/>
            <w:rtl w:val="0"/>
          </w:rPr>
          <w:t xml:space="preserve">https://stackoverflow.com/questions/32952797/implementing-bounded-context-in-domain-driven-design</w:t>
        </w:r>
      </w:hyperlink>
      <w:r w:rsidDel="00000000" w:rsidR="00000000" w:rsidRPr="00000000">
        <w:rPr>
          <w:rtl w:val="0"/>
        </w:rPr>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models for drug-drug interaction prediction from computational discovery to clinical application - PMC, accessed on March 11,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https://pmc.ncbi.nlm.nih.gov/articles/PMC12957528/</w:t>
        </w:r>
      </w:hyperlink>
      <w:r w:rsidDel="00000000" w:rsidR="00000000" w:rsidRPr="00000000">
        <w:rPr>
          <w:rtl w:val="0"/>
        </w:rPr>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learning-based drug-drug interaction prediction: a critical review of models, limitations, and data challenges - Frontiers, accessed on March 11, 2026, </w:t>
      </w:r>
      <w:hyperlink r:id="rId39">
        <w:r w:rsidDel="00000000" w:rsidR="00000000" w:rsidRPr="00000000">
          <w:rPr>
            <w:rFonts w:ascii="Google Sans" w:cs="Google Sans" w:eastAsia="Google Sans" w:hAnsi="Google Sans"/>
            <w:color w:val="0000ee"/>
            <w:sz w:val="24"/>
            <w:szCs w:val="24"/>
            <w:u w:val="single"/>
            <w:rtl w:val="0"/>
          </w:rPr>
          <w:t xml:space="preserve">https://www.frontiersin.org/journals/pharmacology/articles/10.3389/fphar.2025.1632775/full</w:t>
        </w:r>
      </w:hyperlink>
      <w:r w:rsidDel="00000000" w:rsidR="00000000" w:rsidRPr="00000000">
        <w:rPr>
          <w:rtl w:val="0"/>
        </w:rPr>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Drug–drug interaction prediction: databases, web servers and computational models - PMC, accessed on March 11, 2026, </w:t>
      </w:r>
      <w:hyperlink r:id="rId40">
        <w:r w:rsidDel="00000000" w:rsidR="00000000" w:rsidRPr="00000000">
          <w:rPr>
            <w:rFonts w:ascii="Google Sans" w:cs="Google Sans" w:eastAsia="Google Sans" w:hAnsi="Google Sans"/>
            <w:color w:val="0000ee"/>
            <w:sz w:val="24"/>
            <w:szCs w:val="24"/>
            <w:u w:val="single"/>
            <w:rtl w:val="0"/>
          </w:rPr>
          <w:t xml:space="preserve">https://pmc.ncbi.nlm.nih.gov/articles/PMC10782925/</w:t>
        </w:r>
      </w:hyperlink>
      <w:r w:rsidDel="00000000" w:rsidR="00000000" w:rsidRPr="00000000">
        <w:rPr>
          <w:rtl w:val="0"/>
        </w:rPr>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PsychoPharm Aggregated Risk Score (PARS): a ... - Frontiers, accessed on March 11, 2026, </w:t>
      </w:r>
      <w:hyperlink r:id="rId41">
        <w:r w:rsidDel="00000000" w:rsidR="00000000" w:rsidRPr="00000000">
          <w:rPr>
            <w:rFonts w:ascii="Google Sans" w:cs="Google Sans" w:eastAsia="Google Sans" w:hAnsi="Google Sans"/>
            <w:color w:val="0000ee"/>
            <w:sz w:val="24"/>
            <w:szCs w:val="24"/>
            <w:u w:val="single"/>
            <w:rtl w:val="0"/>
          </w:rPr>
          <w:t xml:space="preserve">https://www.frontiersin.org/journals/pharmacology/articles/10.3389/fphar.2026.1782968/full</w:t>
        </w:r>
      </w:hyperlink>
      <w:r w:rsidDel="00000000" w:rsidR="00000000" w:rsidRPr="00000000">
        <w:rPr>
          <w:rtl w:val="0"/>
        </w:rPr>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Anatomical Therapeutic Chemical (ATC) Classification - World Health Organization (WHO), accessed on March 11, 2026, </w:t>
      </w:r>
      <w:hyperlink r:id="rId42">
        <w:r w:rsidDel="00000000" w:rsidR="00000000" w:rsidRPr="00000000">
          <w:rPr>
            <w:rFonts w:ascii="Google Sans" w:cs="Google Sans" w:eastAsia="Google Sans" w:hAnsi="Google Sans"/>
            <w:color w:val="0000ee"/>
            <w:sz w:val="24"/>
            <w:szCs w:val="24"/>
            <w:u w:val="single"/>
            <w:rtl w:val="0"/>
          </w:rPr>
          <w:t xml:space="preserve">https://www.who.int/tools/atc-ddd-toolkit/atc-classification</w:t>
        </w:r>
      </w:hyperlink>
      <w:r w:rsidDel="00000000" w:rsidR="00000000" w:rsidRPr="00000000">
        <w:rPr>
          <w:rtl w:val="0"/>
        </w:rPr>
      </w:r>
    </w:p>
    <w:p w:rsidR="00000000" w:rsidDel="00000000" w:rsidP="00000000" w:rsidRDefault="00000000" w:rsidRPr="00000000" w14:paraId="000001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Decision Support - ASTP - Assistant Secretary for Technology Policy - ONC, accessed on March 11, 2026, </w:t>
      </w:r>
      <w:hyperlink r:id="rId43">
        <w:r w:rsidDel="00000000" w:rsidR="00000000" w:rsidRPr="00000000">
          <w:rPr>
            <w:rFonts w:ascii="Google Sans" w:cs="Google Sans" w:eastAsia="Google Sans" w:hAnsi="Google Sans"/>
            <w:color w:val="0000ee"/>
            <w:sz w:val="24"/>
            <w:szCs w:val="24"/>
            <w:u w:val="single"/>
            <w:rtl w:val="0"/>
          </w:rPr>
          <w:t xml:space="preserve">https://healthit.gov/clinical-quality-and-safety/clinical-decision-support/</w:t>
        </w:r>
      </w:hyperlink>
      <w:r w:rsidDel="00000000" w:rsidR="00000000" w:rsidRPr="00000000">
        <w:rPr>
          <w:rtl w:val="0"/>
        </w:rPr>
      </w:r>
    </w:p>
    <w:p w:rsidR="00000000" w:rsidDel="00000000" w:rsidP="00000000" w:rsidRDefault="00000000" w:rsidRPr="00000000" w14:paraId="000001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MERIS (Medication Risk Score) of Saedder et a for Evaluating the ..., accessed on March 11, 2026, </w:t>
      </w:r>
      <w:hyperlink r:id="rId44">
        <w:r w:rsidDel="00000000" w:rsidR="00000000" w:rsidRPr="00000000">
          <w:rPr>
            <w:rFonts w:ascii="Google Sans" w:cs="Google Sans" w:eastAsia="Google Sans" w:hAnsi="Google Sans"/>
            <w:color w:val="0000ee"/>
            <w:sz w:val="24"/>
            <w:szCs w:val="24"/>
            <w:u w:val="single"/>
            <w:rtl w:val="0"/>
          </w:rPr>
          <w:t xml:space="preserve">https://www.medicalalgorithms.com/meris-medication-risk-score-of-saedder-et-a-for-evaluating-the-risk-of-a-drug-related-problem</w:t>
        </w:r>
      </w:hyperlink>
      <w:r w:rsidDel="00000000" w:rsidR="00000000" w:rsidRPr="00000000">
        <w:rPr>
          <w:rtl w:val="0"/>
        </w:rPr>
      </w:r>
    </w:p>
    <w:p w:rsidR="00000000" w:rsidDel="00000000" w:rsidP="00000000" w:rsidRDefault="00000000" w:rsidRPr="00000000" w14:paraId="000001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prioritisation algorithms for the selection of patients for medication reviews in the emergency department: a cross-sectional study - PMC, accessed on March 11, 2026,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https://pmc.ncbi.nlm.nih.gov/articles/PMC10366030/</w:t>
        </w:r>
      </w:hyperlink>
      <w:r w:rsidDel="00000000" w:rsidR="00000000" w:rsidRPr="00000000">
        <w:rPr>
          <w:rtl w:val="0"/>
        </w:rPr>
      </w:r>
    </w:p>
    <w:p w:rsidR="00000000" w:rsidDel="00000000" w:rsidP="00000000" w:rsidRDefault="00000000" w:rsidRPr="00000000" w14:paraId="000001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Drug-Drug Interaction Risk Calculator 2.0, accessed on March 11, 2026, </w:t>
      </w:r>
      <w:hyperlink r:id="rId46">
        <w:r w:rsidDel="00000000" w:rsidR="00000000" w:rsidRPr="00000000">
          <w:rPr>
            <w:rFonts w:ascii="Google Sans" w:cs="Google Sans" w:eastAsia="Google Sans" w:hAnsi="Google Sans"/>
            <w:color w:val="0000ee"/>
            <w:sz w:val="24"/>
            <w:szCs w:val="24"/>
            <w:u w:val="single"/>
            <w:rtl w:val="0"/>
          </w:rPr>
          <w:t xml:space="preserve">https://assets.ctfassets.net/o78em1y1w4i4/gA4vt1C17FjxwpuPBQNjo/dce77f81c63fa761376da0b6b8c27a73/Flyer-PharmaPendium-Drug-Drug-Interaction-Risk-Calculator.pdf</w:t>
        </w:r>
      </w:hyperlink>
      <w:r w:rsidDel="00000000" w:rsidR="00000000" w:rsidRPr="00000000">
        <w:rPr>
          <w:rtl w:val="0"/>
        </w:rPr>
      </w:r>
    </w:p>
    <w:p w:rsidR="00000000" w:rsidDel="00000000" w:rsidP="00000000" w:rsidRDefault="00000000" w:rsidRPr="00000000" w14:paraId="000001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an Artificial Intelligence Powered Medication Risk Score Calculator Application - PMC, accessed on March 11, 2026,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https://pmc.ncbi.nlm.nih.gov/articles/PMC12451093/</w:t>
        </w:r>
      </w:hyperlink>
      <w:r w:rsidDel="00000000" w:rsidR="00000000" w:rsidRPr="00000000">
        <w:rPr>
          <w:rtl w:val="0"/>
        </w:rPr>
      </w:r>
    </w:p>
    <w:p w:rsidR="00000000" w:rsidDel="00000000" w:rsidP="00000000" w:rsidRDefault="00000000" w:rsidRPr="00000000" w14:paraId="000001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ACB Calculator, accessed on March 11, 2026, </w:t>
      </w:r>
      <w:hyperlink r:id="rId48">
        <w:r w:rsidDel="00000000" w:rsidR="00000000" w:rsidRPr="00000000">
          <w:rPr>
            <w:rFonts w:ascii="Google Sans" w:cs="Google Sans" w:eastAsia="Google Sans" w:hAnsi="Google Sans"/>
            <w:color w:val="0000ee"/>
            <w:sz w:val="24"/>
            <w:szCs w:val="24"/>
            <w:u w:val="single"/>
            <w:rtl w:val="0"/>
          </w:rPr>
          <w:t xml:space="preserve">https://www.acbcalc.com/</w:t>
        </w:r>
      </w:hyperlink>
      <w:r w:rsidDel="00000000" w:rsidR="00000000" w:rsidRPr="00000000">
        <w:rPr>
          <w:rtl w:val="0"/>
        </w:rPr>
      </w:r>
    </w:p>
    <w:p w:rsidR="00000000" w:rsidDel="00000000" w:rsidP="00000000" w:rsidRDefault="00000000" w:rsidRPr="00000000" w14:paraId="000001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Therapeutic Substitution and Formulary Systems | Annals of Internal Medicine, accessed on March 11, 2026, </w:t>
      </w:r>
      <w:hyperlink r:id="rId49">
        <w:r w:rsidDel="00000000" w:rsidR="00000000" w:rsidRPr="00000000">
          <w:rPr>
            <w:rFonts w:ascii="Google Sans" w:cs="Google Sans" w:eastAsia="Google Sans" w:hAnsi="Google Sans"/>
            <w:color w:val="0000ee"/>
            <w:sz w:val="24"/>
            <w:szCs w:val="24"/>
            <w:u w:val="single"/>
            <w:rtl w:val="0"/>
          </w:rPr>
          <w:t xml:space="preserve">https://www.acpjournals.org/doi/10.7326/0003-4819-113-2-160</w:t>
        </w:r>
      </w:hyperlink>
      <w:r w:rsidDel="00000000" w:rsidR="00000000" w:rsidRPr="00000000">
        <w:rPr>
          <w:rtl w:val="0"/>
        </w:rPr>
      </w:r>
    </w:p>
    <w:p w:rsidR="00000000" w:rsidDel="00000000" w:rsidP="00000000" w:rsidRDefault="00000000" w:rsidRPr="00000000" w14:paraId="000001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Substitution of therapeutic equivalents. Switch of a drug to a... - ResearchGate, accessed on March 11, 2026, </w:t>
      </w:r>
      <w:hyperlink r:id="rId50">
        <w:r w:rsidDel="00000000" w:rsidR="00000000" w:rsidRPr="00000000">
          <w:rPr>
            <w:rFonts w:ascii="Google Sans" w:cs="Google Sans" w:eastAsia="Google Sans" w:hAnsi="Google Sans"/>
            <w:color w:val="0000ee"/>
            <w:sz w:val="24"/>
            <w:szCs w:val="24"/>
            <w:u w:val="single"/>
            <w:rtl w:val="0"/>
          </w:rPr>
          <w:t xml:space="preserve">https://www.researchgate.net/figure/Substitution-of-therapeutic-equivalents-Switch-of-a-drug-to-a-therapeutic-equivalent_fig2_233786904</w:t>
        </w:r>
      </w:hyperlink>
      <w:r w:rsidDel="00000000" w:rsidR="00000000" w:rsidRPr="00000000">
        <w:rPr>
          <w:rtl w:val="0"/>
        </w:rPr>
      </w:r>
    </w:p>
    <w:p w:rsidR="00000000" w:rsidDel="00000000" w:rsidP="00000000" w:rsidRDefault="00000000" w:rsidRPr="00000000" w14:paraId="000001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decision support - Medicines Optimisation - NCBI Bookshelf, accessed on March 11, 2026, </w:t>
      </w:r>
      <w:hyperlink r:id="rId51">
        <w:r w:rsidDel="00000000" w:rsidR="00000000" w:rsidRPr="00000000">
          <w:rPr>
            <w:rFonts w:ascii="Google Sans" w:cs="Google Sans" w:eastAsia="Google Sans" w:hAnsi="Google Sans"/>
            <w:color w:val="0000ee"/>
            <w:sz w:val="24"/>
            <w:szCs w:val="24"/>
            <w:u w:val="single"/>
            <w:rtl w:val="0"/>
          </w:rPr>
          <w:t xml:space="preserve">https://www.ncbi.nlm.nih.gov/books/NBK355899/</w:t>
        </w:r>
      </w:hyperlink>
      <w:r w:rsidDel="00000000" w:rsidR="00000000" w:rsidRPr="00000000">
        <w:rPr>
          <w:rtl w:val="0"/>
        </w:rPr>
      </w:r>
    </w:p>
    <w:p w:rsidR="00000000" w:rsidDel="00000000" w:rsidP="00000000" w:rsidRDefault="00000000" w:rsidRPr="00000000" w14:paraId="0000013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High-Fidelity Combined ATC-Rxnorm Drug Hierarchy for Large-Scale Observational Research - ResearchGate, accessed on March 11, 2026,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https://www.researchgate.net/publication/377694079_A_High-Fidelity_Combined_ATC-Rxnorm_Drug_Hierarchy_for_Large-Scale_Observational_Research</w:t>
        </w:r>
      </w:hyperlink>
      <w:r w:rsidDel="00000000" w:rsidR="00000000" w:rsidRPr="00000000">
        <w:rPr>
          <w:rtl w:val="0"/>
        </w:rPr>
      </w:r>
    </w:p>
    <w:p w:rsidR="00000000" w:rsidDel="00000000" w:rsidP="00000000" w:rsidRDefault="00000000" w:rsidRPr="00000000" w14:paraId="000001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and evaluation of a computerised clinical ... - Sci-Hub, accessed on March 11, 2026, </w:t>
      </w:r>
      <w:hyperlink r:id="rId53">
        <w:r w:rsidDel="00000000" w:rsidR="00000000" w:rsidRPr="00000000">
          <w:rPr>
            <w:rFonts w:ascii="Google Sans" w:cs="Google Sans" w:eastAsia="Google Sans" w:hAnsi="Google Sans"/>
            <w:color w:val="0000ee"/>
            <w:sz w:val="24"/>
            <w:szCs w:val="24"/>
            <w:u w:val="single"/>
            <w:rtl w:val="0"/>
          </w:rPr>
          <w:t xml:space="preserve">https://sci-hub.red/10.1186/1472-6947-12-137</w:t>
        </w:r>
      </w:hyperlink>
      <w:r w:rsidDel="00000000" w:rsidR="00000000" w:rsidRPr="00000000">
        <w:rPr>
          <w:rtl w:val="0"/>
        </w:rPr>
      </w:r>
    </w:p>
    <w:p w:rsidR="00000000" w:rsidDel="00000000" w:rsidP="00000000" w:rsidRDefault="00000000" w:rsidRPr="00000000" w14:paraId="000001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Drug Combination Recommendation Model for Systemic Lupus Erythematosus and Antiphospholipid Syndrome - MDPI, accessed on March 11, 2026, </w:t>
      </w:r>
      <w:hyperlink r:id="rId54">
        <w:r w:rsidDel="00000000" w:rsidR="00000000" w:rsidRPr="00000000">
          <w:rPr>
            <w:rFonts w:ascii="Google Sans" w:cs="Google Sans" w:eastAsia="Google Sans" w:hAnsi="Google Sans"/>
            <w:color w:val="0000ee"/>
            <w:sz w:val="24"/>
            <w:szCs w:val="24"/>
            <w:u w:val="single"/>
            <w:rtl w:val="0"/>
          </w:rPr>
          <w:t xml:space="preserve">https://www.mdpi.com/1424-8247/18/8/1224</w:t>
        </w:r>
      </w:hyperlink>
      <w:r w:rsidDel="00000000" w:rsidR="00000000" w:rsidRPr="00000000">
        <w:rPr>
          <w:rtl w:val="0"/>
        </w:rPr>
      </w:r>
    </w:p>
    <w:p w:rsidR="00000000" w:rsidDel="00000000" w:rsidP="00000000" w:rsidRDefault="00000000" w:rsidRPr="00000000" w14:paraId="000001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Prescription Practices Using AI-Powered Drug Substitution Models to Reduce Unnecessary Healthcare Expenditures in Outpatient Settings - SCIRP, accessed on March 11, 2026, </w:t>
      </w:r>
      <w:hyperlink r:id="rId55">
        <w:r w:rsidDel="00000000" w:rsidR="00000000" w:rsidRPr="00000000">
          <w:rPr>
            <w:rFonts w:ascii="Google Sans" w:cs="Google Sans" w:eastAsia="Google Sans" w:hAnsi="Google Sans"/>
            <w:color w:val="0000ee"/>
            <w:sz w:val="24"/>
            <w:szCs w:val="24"/>
            <w:u w:val="single"/>
            <w:rtl w:val="0"/>
          </w:rPr>
          <w:t xml:space="preserve">https://www.scirp.org/journal/paperinformation?paperid=143697</w:t>
        </w:r>
      </w:hyperlink>
      <w:r w:rsidDel="00000000" w:rsidR="00000000" w:rsidRPr="00000000">
        <w:rPr>
          <w:rtl w:val="0"/>
        </w:rPr>
      </w:r>
    </w:p>
    <w:p w:rsidR="00000000" w:rsidDel="00000000" w:rsidP="00000000" w:rsidRDefault="00000000" w:rsidRPr="00000000" w14:paraId="000001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ATC Source Information - RxNorm - National Library of Medicine, accessed on March 11, 2026, </w:t>
      </w:r>
      <w:hyperlink r:id="rId56">
        <w:r w:rsidDel="00000000" w:rsidR="00000000" w:rsidRPr="00000000">
          <w:rPr>
            <w:rFonts w:ascii="Google Sans" w:cs="Google Sans" w:eastAsia="Google Sans" w:hAnsi="Google Sans"/>
            <w:color w:val="0000ee"/>
            <w:sz w:val="24"/>
            <w:szCs w:val="24"/>
            <w:u w:val="single"/>
            <w:rtl w:val="0"/>
          </w:rPr>
          <w:t xml:space="preserve">https://www.nlm.nih.gov/research/umls/rxnorm/sourcereleasedocs/atc.html</w:t>
        </w:r>
      </w:hyperlink>
      <w:r w:rsidDel="00000000" w:rsidR="00000000" w:rsidRPr="00000000">
        <w:rPr>
          <w:rtl w:val="0"/>
        </w:rPr>
      </w:r>
    </w:p>
    <w:p w:rsidR="00000000" w:rsidDel="00000000" w:rsidP="00000000" w:rsidRDefault="00000000" w:rsidRPr="00000000" w14:paraId="000001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Levels of Drug Interaction - NextGen Knowledge Center, accessed on March 11, 2026, </w:t>
      </w:r>
      <w:hyperlink r:id="rId57">
        <w:r w:rsidDel="00000000" w:rsidR="00000000" w:rsidRPr="00000000">
          <w:rPr>
            <w:rFonts w:ascii="Google Sans" w:cs="Google Sans" w:eastAsia="Google Sans" w:hAnsi="Google Sans"/>
            <w:color w:val="0000ee"/>
            <w:sz w:val="24"/>
            <w:szCs w:val="24"/>
            <w:u w:val="single"/>
            <w:rtl w:val="0"/>
          </w:rPr>
          <w:t xml:space="preserve">https://docs.nextgen.com/nextgenc2ae-enterprise-ehr-help-3240205/levels-of-drug-interaction-327337</w:t>
        </w:r>
      </w:hyperlink>
      <w:r w:rsidDel="00000000" w:rsidR="00000000" w:rsidRPr="00000000">
        <w:rPr>
          <w:rtl w:val="0"/>
        </w:rPr>
      </w:r>
    </w:p>
    <w:p w:rsidR="00000000" w:rsidDel="00000000" w:rsidP="00000000" w:rsidRDefault="00000000" w:rsidRPr="00000000" w14:paraId="000001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Facts and Comparisons User Academy - Drug Interactions | Lexidrug | Wolters Kluwer, accessed on March 11, 2026, </w:t>
      </w:r>
      <w:hyperlink r:id="rId58">
        <w:r w:rsidDel="00000000" w:rsidR="00000000" w:rsidRPr="00000000">
          <w:rPr>
            <w:rFonts w:ascii="Google Sans" w:cs="Google Sans" w:eastAsia="Google Sans" w:hAnsi="Google Sans"/>
            <w:color w:val="0000ee"/>
            <w:sz w:val="24"/>
            <w:szCs w:val="24"/>
            <w:u w:val="single"/>
            <w:rtl w:val="0"/>
          </w:rPr>
          <w:t xml:space="preserve">https://www.wolterskluwer.com/en/solutions/uptodate/resources/facts-comparisons/drug-interactions</w:t>
        </w:r>
      </w:hyperlink>
      <w:r w:rsidDel="00000000" w:rsidR="00000000" w:rsidRPr="00000000">
        <w:rPr>
          <w:rtl w:val="0"/>
        </w:rPr>
      </w:r>
    </w:p>
    <w:p w:rsidR="00000000" w:rsidDel="00000000" w:rsidP="00000000" w:rsidRDefault="00000000" w:rsidRPr="00000000" w14:paraId="000001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Decision Support Software - Guidance for Industry and Food and Drug Administration Staff, accessed on March 11, 2026, </w:t>
      </w:r>
      <w:hyperlink r:id="rId59">
        <w:r w:rsidDel="00000000" w:rsidR="00000000" w:rsidRPr="00000000">
          <w:rPr>
            <w:rFonts w:ascii="Google Sans" w:cs="Google Sans" w:eastAsia="Google Sans" w:hAnsi="Google Sans"/>
            <w:color w:val="0000ee"/>
            <w:sz w:val="24"/>
            <w:szCs w:val="24"/>
            <w:u w:val="single"/>
            <w:rtl w:val="0"/>
          </w:rPr>
          <w:t xml:space="preserve">https://www.fda.gov/media/109618/download</w:t>
        </w:r>
      </w:hyperlink>
      <w:r w:rsidDel="00000000" w:rsidR="00000000" w:rsidRPr="00000000">
        <w:rPr>
          <w:rtl w:val="0"/>
        </w:rPr>
      </w:r>
    </w:p>
    <w:p w:rsidR="00000000" w:rsidDel="00000000" w:rsidP="00000000" w:rsidRDefault="00000000" w:rsidRPr="00000000" w14:paraId="0000013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PostgreSQL tuning: 6 things you can do to improve DB performance - Instaclustr, accessed on March 11, 2026, </w:t>
      </w:r>
      <w:hyperlink r:id="rId60">
        <w:r w:rsidDel="00000000" w:rsidR="00000000" w:rsidRPr="00000000">
          <w:rPr>
            <w:rFonts w:ascii="Google Sans" w:cs="Google Sans" w:eastAsia="Google Sans" w:hAnsi="Google Sans"/>
            <w:color w:val="0000ee"/>
            <w:sz w:val="24"/>
            <w:szCs w:val="24"/>
            <w:u w:val="single"/>
            <w:rtl w:val="0"/>
          </w:rPr>
          <w:t xml:space="preserve">https://www.instaclustr.com/education/postgresql/postgresql-tuning-6-things-you-can-do-to-improve-db-performance/</w:t>
        </w:r>
      </w:hyperlink>
      <w:r w:rsidDel="00000000" w:rsidR="00000000" w:rsidRPr="00000000">
        <w:rPr>
          <w:rtl w:val="0"/>
        </w:rPr>
      </w:r>
    </w:p>
    <w:p w:rsidR="00000000" w:rsidDel="00000000" w:rsidP="00000000" w:rsidRDefault="00000000" w:rsidRPr="00000000" w14:paraId="0000013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Audit in Apache Cassandra - DataSunrise, accessed on March 11, 2026, </w:t>
      </w:r>
      <w:hyperlink r:id="rId61">
        <w:r w:rsidDel="00000000" w:rsidR="00000000" w:rsidRPr="00000000">
          <w:rPr>
            <w:rFonts w:ascii="Google Sans" w:cs="Google Sans" w:eastAsia="Google Sans" w:hAnsi="Google Sans"/>
            <w:color w:val="0000ee"/>
            <w:sz w:val="24"/>
            <w:szCs w:val="24"/>
            <w:u w:val="single"/>
            <w:rtl w:val="0"/>
          </w:rPr>
          <w:t xml:space="preserve">https://www.datasunrise.com/knowledge-center/database-audit-in-apache-cassandra/</w:t>
        </w:r>
      </w:hyperlink>
      <w:r w:rsidDel="00000000" w:rsidR="00000000" w:rsidRPr="00000000">
        <w:rPr>
          <w:rtl w:val="0"/>
        </w:rPr>
      </w:r>
    </w:p>
    <w:p w:rsidR="00000000" w:rsidDel="00000000" w:rsidP="00000000" w:rsidRDefault="00000000" w:rsidRPr="00000000" w14:paraId="000001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HIPAA Audit Logs: Your Best Defense After a Data Breach, accessed on March 11, 2026, </w:t>
      </w:r>
      <w:hyperlink r:id="rId62">
        <w:r w:rsidDel="00000000" w:rsidR="00000000" w:rsidRPr="00000000">
          <w:rPr>
            <w:rFonts w:ascii="Google Sans" w:cs="Google Sans" w:eastAsia="Google Sans" w:hAnsi="Google Sans"/>
            <w:color w:val="0000ee"/>
            <w:sz w:val="24"/>
            <w:szCs w:val="24"/>
            <w:u w:val="single"/>
            <w:rtl w:val="0"/>
          </w:rPr>
          <w:t xml:space="preserve">https://www.hipaavault.com/resources/hipaa-audit-logs/</w:t>
        </w:r>
      </w:hyperlink>
      <w:r w:rsidDel="00000000" w:rsidR="00000000" w:rsidRPr="00000000">
        <w:rPr>
          <w:rtl w:val="0"/>
        </w:rPr>
      </w:r>
    </w:p>
    <w:p w:rsidR="00000000" w:rsidDel="00000000" w:rsidP="00000000" w:rsidRDefault="00000000" w:rsidRPr="00000000" w14:paraId="0000014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Maintain HIPAA Audit Trails with These 5 Essentials - Clarity Ventures, accessed on March 11, 2026, </w:t>
      </w:r>
      <w:hyperlink r:id="rId63">
        <w:r w:rsidDel="00000000" w:rsidR="00000000" w:rsidRPr="00000000">
          <w:rPr>
            <w:rFonts w:ascii="Google Sans" w:cs="Google Sans" w:eastAsia="Google Sans" w:hAnsi="Google Sans"/>
            <w:color w:val="0000ee"/>
            <w:sz w:val="24"/>
            <w:szCs w:val="24"/>
            <w:u w:val="single"/>
            <w:rtl w:val="0"/>
          </w:rPr>
          <w:t xml:space="preserve">https://www.clarity-ventures.com/hipaa-ecommerce/hipaa-audit-trails</w:t>
        </w:r>
      </w:hyperlink>
      <w:r w:rsidDel="00000000" w:rsidR="00000000" w:rsidRPr="00000000">
        <w:rPr>
          <w:rtl w:val="0"/>
        </w:rPr>
      </w:r>
    </w:p>
    <w:p w:rsidR="00000000" w:rsidDel="00000000" w:rsidP="00000000" w:rsidRDefault="00000000" w:rsidRPr="00000000" w14:paraId="0000014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HIPAA-Grade Audit Logging System: Lessons from the Healthcare Trenches | by Keshav Agrawal | Medium, accessed on March 11, 2026, </w:t>
      </w:r>
      <w:hyperlink r:id="rId64">
        <w:r w:rsidDel="00000000" w:rsidR="00000000" w:rsidRPr="00000000">
          <w:rPr>
            <w:rFonts w:ascii="Google Sans" w:cs="Google Sans" w:eastAsia="Google Sans" w:hAnsi="Google Sans"/>
            <w:color w:val="0000ee"/>
            <w:sz w:val="24"/>
            <w:szCs w:val="24"/>
            <w:u w:val="single"/>
            <w:rtl w:val="0"/>
          </w:rPr>
          <w:t xml:space="preserve">https://medium.com/@keshavagrawal/building-a-hipaa-grade-audit-logging-system-lessons-from-the-healthcare-trenches-d5a8bb691e3b</w:t>
        </w:r>
      </w:hyperlink>
      <w:r w:rsidDel="00000000" w:rsidR="00000000" w:rsidRPr="00000000">
        <w:rPr>
          <w:rtl w:val="0"/>
        </w:rPr>
      </w:r>
    </w:p>
    <w:p w:rsidR="00000000" w:rsidDel="00000000" w:rsidP="00000000" w:rsidRDefault="00000000" w:rsidRPr="00000000" w14:paraId="0000014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 Trail Review: A Step-by-Step Guide with Best Practices and a Compliance Checklist, accessed on March 11, 2026, </w:t>
      </w:r>
      <w:hyperlink r:id="rId65">
        <w:r w:rsidDel="00000000" w:rsidR="00000000" w:rsidRPr="00000000">
          <w:rPr>
            <w:rFonts w:ascii="Google Sans" w:cs="Google Sans" w:eastAsia="Google Sans" w:hAnsi="Google Sans"/>
            <w:color w:val="0000ee"/>
            <w:sz w:val="24"/>
            <w:szCs w:val="24"/>
            <w:u w:val="single"/>
            <w:rtl w:val="0"/>
          </w:rPr>
          <w:t xml:space="preserve">https://www.accountablehq.com/post/audit-trail-review-a-step-by-step-guide-with-best-practices-and-a-compliance-checklist</w:t>
        </w:r>
      </w:hyperlink>
      <w:r w:rsidDel="00000000" w:rsidR="00000000" w:rsidRPr="00000000">
        <w:rPr>
          <w:rtl w:val="0"/>
        </w:rPr>
      </w:r>
    </w:p>
    <w:p w:rsidR="00000000" w:rsidDel="00000000" w:rsidP="00000000" w:rsidRDefault="00000000" w:rsidRPr="00000000" w14:paraId="0000014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Cassandra drivers - DataStax Docs - IBM DataStax, accessed on March 11, 2026, </w:t>
      </w:r>
      <w:hyperlink r:id="rId66">
        <w:r w:rsidDel="00000000" w:rsidR="00000000" w:rsidRPr="00000000">
          <w:rPr>
            <w:rFonts w:ascii="Google Sans" w:cs="Google Sans" w:eastAsia="Google Sans" w:hAnsi="Google Sans"/>
            <w:color w:val="0000ee"/>
            <w:sz w:val="24"/>
            <w:szCs w:val="24"/>
            <w:u w:val="single"/>
            <w:rtl w:val="0"/>
          </w:rPr>
          <w:t xml:space="preserve">https://docs.datastax.com/en/datastax-drivers/best-practices.html</w:t>
        </w:r>
      </w:hyperlink>
      <w:r w:rsidDel="00000000" w:rsidR="00000000" w:rsidRPr="00000000">
        <w:rPr>
          <w:rtl w:val="0"/>
        </w:rPr>
      </w:r>
    </w:p>
    <w:p w:rsidR="00000000" w:rsidDel="00000000" w:rsidP="00000000" w:rsidRDefault="00000000" w:rsidRPr="00000000" w14:paraId="0000014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Node.js Driver for Apache Cassandra - GitHub, accessed on March 11, 2026, </w:t>
      </w:r>
      <w:hyperlink r:id="rId67">
        <w:r w:rsidDel="00000000" w:rsidR="00000000" w:rsidRPr="00000000">
          <w:rPr>
            <w:rFonts w:ascii="Google Sans" w:cs="Google Sans" w:eastAsia="Google Sans" w:hAnsi="Google Sans"/>
            <w:color w:val="0000ee"/>
            <w:sz w:val="24"/>
            <w:szCs w:val="24"/>
            <w:u w:val="single"/>
            <w:rtl w:val="0"/>
          </w:rPr>
          <w:t xml:space="preserve">https://github.com/datastax/nodejs-driver</w:t>
        </w:r>
      </w:hyperlink>
      <w:r w:rsidDel="00000000" w:rsidR="00000000" w:rsidRPr="00000000">
        <w:rPr>
          <w:rtl w:val="0"/>
        </w:rPr>
      </w:r>
    </w:p>
    <w:p w:rsidR="00000000" w:rsidDel="00000000" w:rsidP="00000000" w:rsidRDefault="00000000" w:rsidRPr="00000000" w14:paraId="000001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Proven Node.js Monitoring Best Practices You Need in 2026, accessed on March 11, 2026, </w:t>
      </w:r>
      <w:hyperlink r:id="rId68">
        <w:r w:rsidDel="00000000" w:rsidR="00000000" w:rsidRPr="00000000">
          <w:rPr>
            <w:rFonts w:ascii="Google Sans" w:cs="Google Sans" w:eastAsia="Google Sans" w:hAnsi="Google Sans"/>
            <w:color w:val="0000ee"/>
            <w:sz w:val="24"/>
            <w:szCs w:val="24"/>
            <w:u w:val="single"/>
            <w:rtl w:val="0"/>
          </w:rPr>
          <w:t xml:space="preserve">https://www.atatus.com/blog/nodejs-monitoring-best-practices/</w:t>
        </w:r>
      </w:hyperlink>
      <w:r w:rsidDel="00000000" w:rsidR="00000000" w:rsidRPr="00000000">
        <w:rPr>
          <w:rtl w:val="0"/>
        </w:rPr>
      </w:r>
    </w:p>
    <w:p w:rsidR="00000000" w:rsidDel="00000000" w:rsidP="00000000" w:rsidRDefault="00000000" w:rsidRPr="00000000" w14:paraId="000001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Cassandra Compaction Strategy? Definition &amp; FAQs | ScyllaDB, accessed on March 11, 2026, </w:t>
      </w:r>
      <w:hyperlink r:id="rId69">
        <w:r w:rsidDel="00000000" w:rsidR="00000000" w:rsidRPr="00000000">
          <w:rPr>
            <w:rFonts w:ascii="Google Sans" w:cs="Google Sans" w:eastAsia="Google Sans" w:hAnsi="Google Sans"/>
            <w:color w:val="0000ee"/>
            <w:sz w:val="24"/>
            <w:szCs w:val="24"/>
            <w:u w:val="single"/>
            <w:rtl w:val="0"/>
          </w:rPr>
          <w:t xml:space="preserve">https://www.scylladb.com/glossary/cassandra-compaction-strategy/</w:t>
        </w:r>
      </w:hyperlink>
      <w:r w:rsidDel="00000000" w:rsidR="00000000" w:rsidRPr="00000000">
        <w:rPr>
          <w:rtl w:val="0"/>
        </w:rPr>
      </w:r>
    </w:p>
    <w:p w:rsidR="00000000" w:rsidDel="00000000" w:rsidP="00000000" w:rsidRDefault="00000000" w:rsidRPr="00000000" w14:paraId="0000014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Compaction overview | Apache Cassandra Documentation, accessed on March 11, 2026, </w:t>
      </w:r>
      <w:hyperlink r:id="rId70">
        <w:r w:rsidDel="00000000" w:rsidR="00000000" w:rsidRPr="00000000">
          <w:rPr>
            <w:rFonts w:ascii="Google Sans" w:cs="Google Sans" w:eastAsia="Google Sans" w:hAnsi="Google Sans"/>
            <w:color w:val="0000ee"/>
            <w:sz w:val="24"/>
            <w:szCs w:val="24"/>
            <w:u w:val="single"/>
            <w:rtl w:val="0"/>
          </w:rPr>
          <w:t xml:space="preserve">https://cassandra.apache.org/doc/stable/cassandra/managing/operating/compaction/overview.html</w:t>
        </w:r>
      </w:hyperlink>
      <w:r w:rsidDel="00000000" w:rsidR="00000000" w:rsidRPr="00000000">
        <w:rPr>
          <w:rtl w:val="0"/>
        </w:rPr>
      </w:r>
    </w:p>
    <w:p w:rsidR="00000000" w:rsidDel="00000000" w:rsidP="00000000" w:rsidRDefault="00000000" w:rsidRPr="00000000" w14:paraId="0000014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AmirBayat0/fl_chart_showcase: Flutter FL_Chart Package Showcase - awesome examples - GitHub, accessed on March 11, 2026, </w:t>
      </w:r>
      <w:hyperlink r:id="rId71">
        <w:r w:rsidDel="00000000" w:rsidR="00000000" w:rsidRPr="00000000">
          <w:rPr>
            <w:rFonts w:ascii="Google Sans" w:cs="Google Sans" w:eastAsia="Google Sans" w:hAnsi="Google Sans"/>
            <w:color w:val="0000ee"/>
            <w:sz w:val="24"/>
            <w:szCs w:val="24"/>
            <w:u w:val="single"/>
            <w:rtl w:val="0"/>
          </w:rPr>
          <w:t xml:space="preserve">https://github.com/AmirBayat0/fl_chart_showcase</w:t>
        </w:r>
      </w:hyperlink>
      <w:r w:rsidDel="00000000" w:rsidR="00000000" w:rsidRPr="00000000">
        <w:rPr>
          <w:rtl w:val="0"/>
        </w:rPr>
      </w:r>
    </w:p>
    <w:p w:rsidR="00000000" w:rsidDel="00000000" w:rsidP="00000000" w:rsidRDefault="00000000" w:rsidRPr="00000000" w14:paraId="0000014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Beautiful Charts in Flutter with fl_chart - DEV Community, accessed on March 11, 2026, </w:t>
      </w:r>
      <w:hyperlink r:id="rId72">
        <w:r w:rsidDel="00000000" w:rsidR="00000000" w:rsidRPr="00000000">
          <w:rPr>
            <w:rFonts w:ascii="Google Sans" w:cs="Google Sans" w:eastAsia="Google Sans" w:hAnsi="Google Sans"/>
            <w:color w:val="0000ee"/>
            <w:sz w:val="24"/>
            <w:szCs w:val="24"/>
            <w:u w:val="single"/>
            <w:rtl w:val="0"/>
          </w:rPr>
          <w:t xml:space="preserve">https://dev.to/sanjay_007/creating-beautiful-charts-in-flutter-with-flchart-3j9l</w:t>
        </w:r>
      </w:hyperlink>
      <w:r w:rsidDel="00000000" w:rsidR="00000000" w:rsidRPr="00000000">
        <w:rPr>
          <w:rtl w:val="0"/>
        </w:rPr>
      </w:r>
    </w:p>
    <w:p w:rsidR="00000000" w:rsidDel="00000000" w:rsidP="00000000" w:rsidRDefault="00000000" w:rsidRPr="00000000" w14:paraId="0000014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tokens – Material Design 3, accessed on March 11, 2026, </w:t>
      </w:r>
      <w:hyperlink r:id="rId73">
        <w:r w:rsidDel="00000000" w:rsidR="00000000" w:rsidRPr="00000000">
          <w:rPr>
            <w:rFonts w:ascii="Google Sans" w:cs="Google Sans" w:eastAsia="Google Sans" w:hAnsi="Google Sans"/>
            <w:color w:val="0000ee"/>
            <w:sz w:val="24"/>
            <w:szCs w:val="24"/>
            <w:u w:val="single"/>
            <w:rtl w:val="0"/>
          </w:rPr>
          <w:t xml:space="preserve">https://m3.material.io/foundations/design-tokens</w:t>
        </w:r>
      </w:hyperlink>
      <w:r w:rsidDel="00000000" w:rsidR="00000000" w:rsidRPr="00000000">
        <w:rPr>
          <w:rtl w:val="0"/>
        </w:rPr>
      </w:r>
    </w:p>
    <w:p w:rsidR="00000000" w:rsidDel="00000000" w:rsidP="00000000" w:rsidRDefault="00000000" w:rsidRPr="00000000" w14:paraId="0000014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Material 3 Design System. Personal, Adaptive, and Expressive by… - YLabZ, accessed on March 11, 2026, </w:t>
      </w:r>
      <w:hyperlink r:id="rId74">
        <w:r w:rsidDel="00000000" w:rsidR="00000000" w:rsidRPr="00000000">
          <w:rPr>
            <w:rFonts w:ascii="Google Sans" w:cs="Google Sans" w:eastAsia="Google Sans" w:hAnsi="Google Sans"/>
            <w:color w:val="0000ee"/>
            <w:sz w:val="24"/>
            <w:szCs w:val="24"/>
            <w:u w:val="single"/>
            <w:rtl w:val="0"/>
          </w:rPr>
          <w:t xml:space="preserve">https://zoewave.medium.com/material-3-design-system-e91a15d303a0</w:t>
        </w:r>
      </w:hyperlink>
      <w:r w:rsidDel="00000000" w:rsidR="00000000" w:rsidRPr="00000000">
        <w:rPr>
          <w:rtl w:val="0"/>
        </w:rPr>
      </w:r>
    </w:p>
    <w:p w:rsidR="00000000" w:rsidDel="00000000" w:rsidP="00000000" w:rsidRDefault="00000000" w:rsidRPr="00000000" w14:paraId="0000014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roles - Material Design 3, accessed on March 11, 2026, </w:t>
      </w:r>
      <w:hyperlink r:id="rId75">
        <w:r w:rsidDel="00000000" w:rsidR="00000000" w:rsidRPr="00000000">
          <w:rPr>
            <w:rFonts w:ascii="Google Sans" w:cs="Google Sans" w:eastAsia="Google Sans" w:hAnsi="Google Sans"/>
            <w:color w:val="0000ee"/>
            <w:sz w:val="24"/>
            <w:szCs w:val="24"/>
            <w:u w:val="single"/>
            <w:rtl w:val="0"/>
          </w:rPr>
          <w:t xml:space="preserve">https://m3.material.io/styles/color/roles</w:t>
        </w:r>
      </w:hyperlink>
      <w:r w:rsidDel="00000000" w:rsidR="00000000" w:rsidRPr="00000000">
        <w:rPr>
          <w:rtl w:val="0"/>
        </w:rPr>
      </w:r>
    </w:p>
    <w:p w:rsidR="00000000" w:rsidDel="00000000" w:rsidP="00000000" w:rsidRDefault="00000000" w:rsidRPr="00000000" w14:paraId="0000014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Accessibility | Color &amp; Type - UCLA Brand Guidelines, accessed on March 11, 2026, </w:t>
      </w:r>
      <w:hyperlink r:id="rId76">
        <w:r w:rsidDel="00000000" w:rsidR="00000000" w:rsidRPr="00000000">
          <w:rPr>
            <w:rFonts w:ascii="Google Sans" w:cs="Google Sans" w:eastAsia="Google Sans" w:hAnsi="Google Sans"/>
            <w:color w:val="0000ee"/>
            <w:sz w:val="24"/>
            <w:szCs w:val="24"/>
            <w:u w:val="single"/>
            <w:rtl w:val="0"/>
          </w:rPr>
          <w:t xml:space="preserve">https://brand.ucla.edu/fundamentals/accessibility/color-type</w:t>
        </w:r>
      </w:hyperlink>
      <w:r w:rsidDel="00000000" w:rsidR="00000000" w:rsidRPr="00000000">
        <w:rPr>
          <w:rtl w:val="0"/>
        </w:rPr>
      </w:r>
    </w:p>
    <w:p w:rsidR="00000000" w:rsidDel="00000000" w:rsidP="00000000" w:rsidRDefault="00000000" w:rsidRPr="00000000" w14:paraId="0000014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tokens for designers: A practical guide - Penpot, accessed on March 11, 2026, </w:t>
      </w:r>
      <w:hyperlink r:id="rId77">
        <w:r w:rsidDel="00000000" w:rsidR="00000000" w:rsidRPr="00000000">
          <w:rPr>
            <w:rFonts w:ascii="Google Sans" w:cs="Google Sans" w:eastAsia="Google Sans" w:hAnsi="Google Sans"/>
            <w:color w:val="0000ee"/>
            <w:sz w:val="24"/>
            <w:szCs w:val="24"/>
            <w:u w:val="single"/>
            <w:rtl w:val="0"/>
          </w:rPr>
          <w:t xml:space="preserve">https://penpot.app/blog/design-tokens-for-designers/</w:t>
        </w:r>
      </w:hyperlink>
      <w:r w:rsidDel="00000000" w:rsidR="00000000" w:rsidRPr="00000000">
        <w:rPr>
          <w:rtl w:val="0"/>
        </w:rPr>
      </w:r>
    </w:p>
    <w:p w:rsidR="00000000" w:rsidDel="00000000" w:rsidP="00000000" w:rsidRDefault="00000000" w:rsidRPr="00000000" w14:paraId="0000015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 Material Design 3 - Create personal color schemes, accessed on March 11, 2026, </w:t>
      </w:r>
      <w:hyperlink r:id="rId78">
        <w:r w:rsidDel="00000000" w:rsidR="00000000" w:rsidRPr="00000000">
          <w:rPr>
            <w:rFonts w:ascii="Google Sans" w:cs="Google Sans" w:eastAsia="Google Sans" w:hAnsi="Google Sans"/>
            <w:color w:val="0000ee"/>
            <w:sz w:val="24"/>
            <w:szCs w:val="24"/>
            <w:u w:val="single"/>
            <w:rtl w:val="0"/>
          </w:rPr>
          <w:t xml:space="preserve">https://m3.material.io/styles/color/overview</w:t>
        </w:r>
      </w:hyperlink>
      <w:r w:rsidDel="00000000" w:rsidR="00000000" w:rsidRPr="00000000">
        <w:rPr>
          <w:rtl w:val="0"/>
        </w:rPr>
      </w:r>
    </w:p>
    <w:p w:rsidR="00000000" w:rsidDel="00000000" w:rsidP="00000000" w:rsidRDefault="00000000" w:rsidRPr="00000000" w14:paraId="0000015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contrast - Accessibility designing – Material Design 3, accessed on March 11, 2026, </w:t>
      </w:r>
      <w:hyperlink r:id="rId79">
        <w:r w:rsidDel="00000000" w:rsidR="00000000" w:rsidRPr="00000000">
          <w:rPr>
            <w:rFonts w:ascii="Google Sans" w:cs="Google Sans" w:eastAsia="Google Sans" w:hAnsi="Google Sans"/>
            <w:color w:val="0000ee"/>
            <w:sz w:val="24"/>
            <w:szCs w:val="24"/>
            <w:u w:val="single"/>
            <w:rtl w:val="0"/>
          </w:rPr>
          <w:t xml:space="preserve">https://m3.material.io/foundations/designing/color-contrast</w:t>
        </w:r>
      </w:hyperlink>
      <w:r w:rsidDel="00000000" w:rsidR="00000000" w:rsidRPr="00000000">
        <w:rPr>
          <w:rtl w:val="0"/>
        </w:rPr>
      </w:r>
    </w:p>
    <w:p w:rsidR="00000000" w:rsidDel="00000000" w:rsidP="00000000" w:rsidRDefault="00000000" w:rsidRPr="00000000" w14:paraId="0000015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Accessibility - Material Design, accessed on March 11, 2026, </w:t>
      </w:r>
      <w:hyperlink r:id="rId80">
        <w:r w:rsidDel="00000000" w:rsidR="00000000" w:rsidRPr="00000000">
          <w:rPr>
            <w:rFonts w:ascii="Google Sans" w:cs="Google Sans" w:eastAsia="Google Sans" w:hAnsi="Google Sans"/>
            <w:color w:val="0000ee"/>
            <w:sz w:val="24"/>
            <w:szCs w:val="24"/>
            <w:u w:val="single"/>
            <w:rtl w:val="0"/>
          </w:rPr>
          <w:t xml:space="preserve">https://m2.material.io/design/usability/accessibility.html</w:t>
        </w:r>
      </w:hyperlink>
      <w:r w:rsidDel="00000000" w:rsidR="00000000" w:rsidRPr="00000000">
        <w:rPr>
          <w:rtl w:val="0"/>
        </w:rPr>
      </w:r>
    </w:p>
    <w:p w:rsidR="00000000" w:rsidDel="00000000" w:rsidP="00000000" w:rsidRDefault="00000000" w:rsidRPr="00000000" w14:paraId="0000015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Material 3 tokens update in Flutter, accessed on March 11, 2026, </w:t>
      </w:r>
      <w:hyperlink r:id="rId81">
        <w:r w:rsidDel="00000000" w:rsidR="00000000" w:rsidRPr="00000000">
          <w:rPr>
            <w:rFonts w:ascii="Google Sans" w:cs="Google Sans" w:eastAsia="Google Sans" w:hAnsi="Google Sans"/>
            <w:color w:val="0000ee"/>
            <w:sz w:val="24"/>
            <w:szCs w:val="24"/>
            <w:u w:val="single"/>
            <w:rtl w:val="0"/>
          </w:rPr>
          <w:t xml:space="preserve">https://docs.flutter.dev/release/breaking-changes/material-design-3-token-update</w:t>
        </w:r>
      </w:hyperlink>
      <w:r w:rsidDel="00000000" w:rsidR="00000000" w:rsidRPr="00000000">
        <w:rPr>
          <w:rtl w:val="0"/>
        </w:rPr>
      </w:r>
    </w:p>
    <w:p w:rsidR="00000000" w:rsidDel="00000000" w:rsidP="00000000" w:rsidRDefault="00000000" w:rsidRPr="00000000" w14:paraId="0000015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 Charts for Clinical Time Series and Trend Analysis • jjstatsplot, accessed on March 11, 2026, </w:t>
      </w:r>
      <w:hyperlink r:id="rId82">
        <w:r w:rsidDel="00000000" w:rsidR="00000000" w:rsidRPr="00000000">
          <w:rPr>
            <w:rFonts w:ascii="Google Sans" w:cs="Google Sans" w:eastAsia="Google Sans" w:hAnsi="Google Sans"/>
            <w:color w:val="0000ee"/>
            <w:sz w:val="24"/>
            <w:szCs w:val="24"/>
            <w:u w:val="single"/>
            <w:rtl w:val="0"/>
          </w:rPr>
          <w:t xml:space="preserve">https://www.serdarbalci.com/jjstatsplot/articles/30-linechart-comprehensive.html</w:t>
        </w:r>
      </w:hyperlink>
      <w:r w:rsidDel="00000000" w:rsidR="00000000" w:rsidRPr="00000000">
        <w:rPr>
          <w:rtl w:val="0"/>
        </w:rPr>
      </w:r>
    </w:p>
    <w:p w:rsidR="00000000" w:rsidDel="00000000" w:rsidP="00000000" w:rsidRDefault="00000000" w:rsidRPr="00000000" w14:paraId="0000015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Stunning Charts with fl_charts in Flutter | by Aiswarya Somanathan - Medium, accessed on March 11, 2026, </w:t>
      </w:r>
      <w:hyperlink r:id="rId83">
        <w:r w:rsidDel="00000000" w:rsidR="00000000" w:rsidRPr="00000000">
          <w:rPr>
            <w:rFonts w:ascii="Google Sans" w:cs="Google Sans" w:eastAsia="Google Sans" w:hAnsi="Google Sans"/>
            <w:color w:val="0000ee"/>
            <w:sz w:val="24"/>
            <w:szCs w:val="24"/>
            <w:u w:val="single"/>
            <w:rtl w:val="0"/>
          </w:rPr>
          <w:t xml:space="preserve">https://medium.com/@aiswaryasomanathan4/design-stunning-charts-with-fl-charts-in-flutter-02e6f669f505</w:t>
        </w:r>
      </w:hyperlink>
      <w:r w:rsidDel="00000000" w:rsidR="00000000" w:rsidRPr="00000000">
        <w:rPr>
          <w:rtl w:val="0"/>
        </w:rPr>
      </w:r>
    </w:p>
    <w:p w:rsidR="00000000" w:rsidDel="00000000" w:rsidP="00000000" w:rsidRDefault="00000000" w:rsidRPr="00000000" w14:paraId="0000015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Updating Live Data in Flutter Charts - A Complete Guide - Syncfusion, accessed on March 11, 2026, </w:t>
      </w:r>
      <w:hyperlink r:id="rId84">
        <w:r w:rsidDel="00000000" w:rsidR="00000000" w:rsidRPr="00000000">
          <w:rPr>
            <w:rFonts w:ascii="Google Sans" w:cs="Google Sans" w:eastAsia="Google Sans" w:hAnsi="Google Sans"/>
            <w:color w:val="0000ee"/>
            <w:sz w:val="24"/>
            <w:szCs w:val="24"/>
            <w:u w:val="single"/>
            <w:rtl w:val="0"/>
          </w:rPr>
          <w:t xml:space="preserve">https://www.syncfusion.com/blogs/post/updating-live-data-in-flutter-charts</w:t>
        </w:r>
      </w:hyperlink>
      <w:r w:rsidDel="00000000" w:rsidR="00000000" w:rsidRPr="00000000">
        <w:rPr>
          <w:rtl w:val="0"/>
        </w:rPr>
      </w:r>
    </w:p>
    <w:p w:rsidR="00000000" w:rsidDel="00000000" w:rsidP="00000000" w:rsidRDefault="00000000" w:rsidRPr="00000000" w14:paraId="0000015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clinical decision support systems, accessed on March 11, 2026, </w:t>
      </w:r>
      <w:hyperlink r:id="rId85">
        <w:r w:rsidDel="00000000" w:rsidR="00000000" w:rsidRPr="00000000">
          <w:rPr>
            <w:rFonts w:ascii="Google Sans" w:cs="Google Sans" w:eastAsia="Google Sans" w:hAnsi="Google Sans"/>
            <w:color w:val="0000ee"/>
            <w:sz w:val="24"/>
            <w:szCs w:val="24"/>
            <w:u w:val="single"/>
            <w:rtl w:val="0"/>
          </w:rPr>
          <w:t xml:space="preserve">https://hipaatimes.com/an-overview-of-clinical-decision-support-systems</w:t>
        </w:r>
      </w:hyperlink>
      <w:r w:rsidDel="00000000" w:rsidR="00000000" w:rsidRPr="00000000">
        <w:rPr>
          <w:rtl w:val="0"/>
        </w:rPr>
      </w:r>
    </w:p>
    <w:p w:rsidR="00000000" w:rsidDel="00000000" w:rsidP="00000000" w:rsidRDefault="00000000" w:rsidRPr="00000000" w14:paraId="0000015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Audit Apache Cassandra for Security &amp; Compliance - DataSunrise, accessed on March 11, 2026, </w:t>
      </w:r>
      <w:hyperlink r:id="rId86">
        <w:r w:rsidDel="00000000" w:rsidR="00000000" w:rsidRPr="00000000">
          <w:rPr>
            <w:rFonts w:ascii="Google Sans" w:cs="Google Sans" w:eastAsia="Google Sans" w:hAnsi="Google Sans"/>
            <w:color w:val="0000ee"/>
            <w:sz w:val="24"/>
            <w:szCs w:val="24"/>
            <w:u w:val="single"/>
            <w:rtl w:val="0"/>
          </w:rPr>
          <w:t xml:space="preserve">https://www.datasunrise.com/knowledge-center/how-to-audit-apache-cassandra/</w:t>
        </w:r>
      </w:hyperlink>
      <w:r w:rsidDel="00000000" w:rsidR="00000000" w:rsidRPr="00000000">
        <w:rPr>
          <w:rtl w:val="0"/>
        </w:rPr>
      </w:r>
    </w:p>
    <w:p w:rsidR="00000000" w:rsidDel="00000000" w:rsidP="00000000" w:rsidRDefault="00000000" w:rsidRPr="00000000" w14:paraId="0000015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 Logging | Apache Cassandra Documentation, accessed on March 11, 2026, </w:t>
      </w:r>
      <w:hyperlink r:id="rId87">
        <w:r w:rsidDel="00000000" w:rsidR="00000000" w:rsidRPr="00000000">
          <w:rPr>
            <w:rFonts w:ascii="Google Sans" w:cs="Google Sans" w:eastAsia="Google Sans" w:hAnsi="Google Sans"/>
            <w:color w:val="0000ee"/>
            <w:sz w:val="24"/>
            <w:szCs w:val="24"/>
            <w:u w:val="single"/>
            <w:rtl w:val="0"/>
          </w:rPr>
          <w:t xml:space="preserve">https://cassandra.apache.org/doc/stable/cassandra/managing/operating/audit_logging.html</w:t>
        </w:r>
      </w:hyperlink>
      <w:r w:rsidDel="00000000" w:rsidR="00000000" w:rsidRPr="00000000">
        <w:rPr>
          <w:rtl w:val="0"/>
        </w:rPr>
      </w:r>
    </w:p>
    <w:p w:rsidR="00000000" w:rsidDel="00000000" w:rsidP="00000000" w:rsidRDefault="00000000" w:rsidRPr="00000000" w14:paraId="0000015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MICROSERVICES ARCHITECTURE FOR HEALTHCARE FINANCIAL SYSTEMS: DESIGN PRINCIPLES AND IMPLEMENTATION STRATEGIES, accessed on March 11, 2026, </w:t>
      </w:r>
      <w:hyperlink r:id="rId88">
        <w:r w:rsidDel="00000000" w:rsidR="00000000" w:rsidRPr="00000000">
          <w:rPr>
            <w:rFonts w:ascii="Google Sans" w:cs="Google Sans" w:eastAsia="Google Sans" w:hAnsi="Google Sans"/>
            <w:color w:val="0000ee"/>
            <w:sz w:val="24"/>
            <w:szCs w:val="24"/>
            <w:u w:val="single"/>
            <w:rtl w:val="0"/>
          </w:rPr>
          <w:t xml:space="preserve">https://tpmap.org/submission/index.php/tpm/article/download/2464/1875/5349</w:t>
        </w:r>
      </w:hyperlink>
      <w:r w:rsidDel="00000000" w:rsidR="00000000" w:rsidRPr="00000000">
        <w:rPr>
          <w:rtl w:val="0"/>
        </w:rPr>
      </w:r>
    </w:p>
    <w:p w:rsidR="00000000" w:rsidDel="00000000" w:rsidP="00000000" w:rsidRDefault="00000000" w:rsidRPr="00000000" w14:paraId="0000015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Cassandra Monitoring: A Best Practice Guide - NetApp Instaclustr, accessed on March 11, 2026, </w:t>
      </w:r>
      <w:hyperlink r:id="rId89">
        <w:r w:rsidDel="00000000" w:rsidR="00000000" w:rsidRPr="00000000">
          <w:rPr>
            <w:rFonts w:ascii="Google Sans" w:cs="Google Sans" w:eastAsia="Google Sans" w:hAnsi="Google Sans"/>
            <w:color w:val="0000ee"/>
            <w:sz w:val="24"/>
            <w:szCs w:val="24"/>
            <w:u w:val="single"/>
            <w:rtl w:val="0"/>
          </w:rPr>
          <w:t xml:space="preserve">https://www.instaclustr.com/blog/cassandra-monitoring-best-practice-guide/</w:t>
        </w:r>
      </w:hyperlink>
      <w:r w:rsidDel="00000000" w:rsidR="00000000" w:rsidRPr="00000000">
        <w:rPr>
          <w:rtl w:val="0"/>
        </w:rPr>
      </w:r>
    </w:p>
    <w:p w:rsidR="00000000" w:rsidDel="00000000" w:rsidP="00000000" w:rsidRDefault="00000000" w:rsidRPr="00000000" w14:paraId="0000015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algorithm for analyzing drug-drug interactions from MEDLINE literature - PMC, accessed on March 11, 2026, </w:t>
      </w:r>
      <w:hyperlink r:id="rId90">
        <w:r w:rsidDel="00000000" w:rsidR="00000000" w:rsidRPr="00000000">
          <w:rPr>
            <w:rFonts w:ascii="Google Sans" w:cs="Google Sans" w:eastAsia="Google Sans" w:hAnsi="Google Sans"/>
            <w:color w:val="0000ee"/>
            <w:sz w:val="24"/>
            <w:szCs w:val="24"/>
            <w:u w:val="single"/>
            <w:rtl w:val="0"/>
          </w:rPr>
          <w:t xml:space="preserve">https://pmc.ncbi.nlm.nih.gov/articles/PMC4661569/</w:t>
        </w:r>
      </w:hyperlink>
      <w:r w:rsidDel="00000000" w:rsidR="00000000" w:rsidRPr="00000000">
        <w:rPr>
          <w:rtl w:val="0"/>
        </w:rPr>
      </w:r>
    </w:p>
    <w:p w:rsidR="00000000" w:rsidDel="00000000" w:rsidP="00000000" w:rsidRDefault="00000000" w:rsidRPr="00000000" w14:paraId="0000015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healthcare microservices: a FHIR-native approach - Health Samurai, accessed on March 11, 2026, </w:t>
      </w:r>
      <w:hyperlink r:id="rId91">
        <w:r w:rsidDel="00000000" w:rsidR="00000000" w:rsidRPr="00000000">
          <w:rPr>
            <w:rFonts w:ascii="Google Sans" w:cs="Google Sans" w:eastAsia="Google Sans" w:hAnsi="Google Sans"/>
            <w:color w:val="0000ee"/>
            <w:sz w:val="24"/>
            <w:szCs w:val="24"/>
            <w:u w:val="single"/>
            <w:rtl w:val="0"/>
          </w:rPr>
          <w:t xml:space="preserve">https://www.health-samurai.io/articles/building-healthcare-microservices-a-fhir-native-approach</w:t>
        </w:r>
      </w:hyperlink>
      <w:r w:rsidDel="00000000" w:rsidR="00000000" w:rsidRPr="00000000">
        <w:rPr>
          <w:rtl w:val="0"/>
        </w:rPr>
      </w:r>
    </w:p>
    <w:p w:rsidR="00000000" w:rsidDel="00000000" w:rsidP="00000000" w:rsidRDefault="00000000" w:rsidRPr="00000000" w14:paraId="0000015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types of risk screening tests are available to clinicians prescribing opioid therapy?, accessed on March 11, 2026, </w:t>
      </w:r>
      <w:hyperlink r:id="rId92">
        <w:r w:rsidDel="00000000" w:rsidR="00000000" w:rsidRPr="00000000">
          <w:rPr>
            <w:rFonts w:ascii="Google Sans" w:cs="Google Sans" w:eastAsia="Google Sans" w:hAnsi="Google Sans"/>
            <w:color w:val="0000ee"/>
            <w:sz w:val="24"/>
            <w:szCs w:val="24"/>
            <w:u w:val="single"/>
            <w:rtl w:val="0"/>
          </w:rPr>
          <w:t xml:space="preserve">https://www.medcentral.com/meds/monitoring/what-types-risk-screening-tests-are-available-clinicians-prescribing</w:t>
        </w:r>
      </w:hyperlink>
      <w:r w:rsidDel="00000000" w:rsidR="00000000" w:rsidRPr="00000000">
        <w:rPr>
          <w:rtl w:val="0"/>
        </w:rPr>
      </w:r>
    </w:p>
    <w:p w:rsidR="00000000" w:rsidDel="00000000" w:rsidP="00000000" w:rsidRDefault="00000000" w:rsidRPr="00000000" w14:paraId="0000015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efficiently use Batch writes to cassandra using datastax java driver? - Stack Overflow, accessed on March 11, 2026, </w:t>
      </w:r>
      <w:hyperlink r:id="rId93">
        <w:r w:rsidDel="00000000" w:rsidR="00000000" w:rsidRPr="00000000">
          <w:rPr>
            <w:rFonts w:ascii="Google Sans" w:cs="Google Sans" w:eastAsia="Google Sans" w:hAnsi="Google Sans"/>
            <w:color w:val="0000ee"/>
            <w:sz w:val="24"/>
            <w:szCs w:val="24"/>
            <w:u w:val="single"/>
            <w:rtl w:val="0"/>
          </w:rPr>
          <w:t xml:space="preserve">https://stackoverflow.com/questions/26265224/how-to-efficiently-use-batch-writes-to-cassandra-using-datastax-java-driver</w:t>
        </w:r>
      </w:hyperlink>
      <w:r w:rsidDel="00000000" w:rsidR="00000000" w:rsidRPr="00000000">
        <w:rPr>
          <w:rtl w:val="0"/>
        </w:rPr>
      </w:r>
    </w:p>
    <w:p w:rsidR="00000000" w:rsidDel="00000000" w:rsidP="00000000" w:rsidRDefault="00000000" w:rsidRPr="00000000" w14:paraId="0000016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Flowchart Flow of patients through the clinical decision support... | Download Scientific Diagram - ResearchGate, accessed on March 11, 2026, </w:t>
      </w:r>
      <w:hyperlink r:id="rId94">
        <w:r w:rsidDel="00000000" w:rsidR="00000000" w:rsidRPr="00000000">
          <w:rPr>
            <w:rFonts w:ascii="Google Sans" w:cs="Google Sans" w:eastAsia="Google Sans" w:hAnsi="Google Sans"/>
            <w:color w:val="0000ee"/>
            <w:sz w:val="24"/>
            <w:szCs w:val="24"/>
            <w:u w:val="single"/>
            <w:rtl w:val="0"/>
          </w:rPr>
          <w:t xml:space="preserve">https://www.researchgate.net/figure/Study-Flowchart-Flow-of-patients-through-the-clinical-decision-support-intervention-to_fig1_364683009</w:t>
        </w:r>
      </w:hyperlink>
      <w:r w:rsidDel="00000000" w:rsidR="00000000" w:rsidRPr="00000000">
        <w:rPr>
          <w:rtl w:val="0"/>
        </w:rPr>
      </w:r>
    </w:p>
    <w:p w:rsidR="00000000" w:rsidDel="00000000" w:rsidP="00000000" w:rsidRDefault="00000000" w:rsidRPr="00000000" w14:paraId="0000016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High-Throughput Computing to Detect Harmful Drug-Drug Interactions in Older Adults: Protocol for a Population-Based Cohort Study, accessed on March 11, 2026, </w:t>
      </w:r>
      <w:hyperlink r:id="rId95">
        <w:r w:rsidDel="00000000" w:rsidR="00000000" w:rsidRPr="00000000">
          <w:rPr>
            <w:rFonts w:ascii="Google Sans" w:cs="Google Sans" w:eastAsia="Google Sans" w:hAnsi="Google Sans"/>
            <w:color w:val="0000ee"/>
            <w:sz w:val="24"/>
            <w:szCs w:val="24"/>
            <w:u w:val="single"/>
            <w:rtl w:val="0"/>
          </w:rPr>
          <w:t xml:space="preserve">https://www.researchprotocols.org/2025/1/e77224</w:t>
        </w:r>
      </w:hyperlink>
      <w:r w:rsidDel="00000000" w:rsidR="00000000" w:rsidRPr="00000000">
        <w:rPr>
          <w:rtl w:val="0"/>
        </w:rPr>
      </w:r>
    </w:p>
    <w:p w:rsidR="00000000" w:rsidDel="00000000" w:rsidP="00000000" w:rsidRDefault="00000000" w:rsidRPr="00000000" w14:paraId="0000016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Accessibility and Digital Inclusion with Flutter - Very Good Ventures, accessed on March 11, 2026, </w:t>
      </w:r>
      <w:hyperlink r:id="rId96">
        <w:r w:rsidDel="00000000" w:rsidR="00000000" w:rsidRPr="00000000">
          <w:rPr>
            <w:rFonts w:ascii="Google Sans" w:cs="Google Sans" w:eastAsia="Google Sans" w:hAnsi="Google Sans"/>
            <w:color w:val="0000ee"/>
            <w:sz w:val="24"/>
            <w:szCs w:val="24"/>
            <w:u w:val="single"/>
            <w:rtl w:val="0"/>
          </w:rPr>
          <w:t xml:space="preserve">https://www.verygood.ventures/blog/exploring-accessibility-and-digital-inclusion-with-flutter</w:t>
        </w:r>
      </w:hyperlink>
      <w:r w:rsidDel="00000000" w:rsidR="00000000" w:rsidRPr="00000000">
        <w:rPr>
          <w:rtl w:val="0"/>
        </w:rPr>
      </w:r>
    </w:p>
    <w:p w:rsidR="00000000" w:rsidDel="00000000" w:rsidP="00000000" w:rsidRDefault="00000000" w:rsidRPr="00000000" w14:paraId="000001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Accessibility - Flutter documentation, accessed on March 11, 2026, </w:t>
      </w:r>
      <w:hyperlink r:id="rId97">
        <w:r w:rsidDel="00000000" w:rsidR="00000000" w:rsidRPr="00000000">
          <w:rPr>
            <w:rFonts w:ascii="Google Sans" w:cs="Google Sans" w:eastAsia="Google Sans" w:hAnsi="Google Sans"/>
            <w:color w:val="0000ee"/>
            <w:sz w:val="24"/>
            <w:szCs w:val="24"/>
            <w:u w:val="single"/>
            <w:rtl w:val="0"/>
          </w:rPr>
          <w:t xml:space="preserve">https://docs.flutter.dev/ui/accessibility</w:t>
        </w:r>
      </w:hyperlink>
      <w:r w:rsidDel="00000000" w:rsidR="00000000" w:rsidRPr="00000000">
        <w:rPr>
          <w:rtl w:val="0"/>
        </w:rPr>
      </w:r>
    </w:p>
    <w:p w:rsidR="00000000" w:rsidDel="00000000" w:rsidP="00000000" w:rsidRDefault="00000000" w:rsidRPr="00000000" w14:paraId="000001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Accessibility in Flutter (and Code You'll Actually Use) - DCM, accessed on March 11, 2026, </w:t>
      </w:r>
      <w:hyperlink r:id="rId98">
        <w:r w:rsidDel="00000000" w:rsidR="00000000" w:rsidRPr="00000000">
          <w:rPr>
            <w:rFonts w:ascii="Google Sans" w:cs="Google Sans" w:eastAsia="Google Sans" w:hAnsi="Google Sans"/>
            <w:color w:val="0000ee"/>
            <w:sz w:val="24"/>
            <w:szCs w:val="24"/>
            <w:u w:val="single"/>
            <w:rtl w:val="0"/>
          </w:rPr>
          <w:t xml:space="preserve">https://dcm.dev/blog/2025/06/30/accessibility-flutter-practical-tips-tools-code-youll-actually-use/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10782925/" TargetMode="External"/><Relationship Id="rId42" Type="http://schemas.openxmlformats.org/officeDocument/2006/relationships/hyperlink" Target="https://www.who.int/tools/atc-ddd-toolkit/atc-classification" TargetMode="External"/><Relationship Id="rId41" Type="http://schemas.openxmlformats.org/officeDocument/2006/relationships/hyperlink" Target="https://www.frontiersin.org/journals/pharmacology/articles/10.3389/fphar.2026.1782968/full" TargetMode="External"/><Relationship Id="rId44" Type="http://schemas.openxmlformats.org/officeDocument/2006/relationships/hyperlink" Target="https://www.medicalalgorithms.com/meris-medication-risk-score-of-saedder-et-a-for-evaluating-the-risk-of-a-drug-related-problem" TargetMode="External"/><Relationship Id="rId43" Type="http://schemas.openxmlformats.org/officeDocument/2006/relationships/hyperlink" Target="https://healthit.gov/clinical-quality-and-safety/clinical-decision-support/" TargetMode="External"/><Relationship Id="rId46" Type="http://schemas.openxmlformats.org/officeDocument/2006/relationships/hyperlink" Target="https://assets.ctfassets.net/o78em1y1w4i4/gA4vt1C17FjxwpuPBQNjo/dce77f81c63fa761376da0b6b8c27a73/Flyer-PharmaPendium-Drug-Drug-Interaction-Risk-Calculator.pdf" TargetMode="External"/><Relationship Id="rId45" Type="http://schemas.openxmlformats.org/officeDocument/2006/relationships/hyperlink" Target="https://pmc.ncbi.nlm.nih.gov/articles/PMC10366030/" TargetMode="External"/><Relationship Id="rId48" Type="http://schemas.openxmlformats.org/officeDocument/2006/relationships/hyperlink" Target="https://www.acbcalc.com/" TargetMode="External"/><Relationship Id="rId47" Type="http://schemas.openxmlformats.org/officeDocument/2006/relationships/hyperlink" Target="https://pmc.ncbi.nlm.nih.gov/articles/PMC12451093/" TargetMode="External"/><Relationship Id="rId49" Type="http://schemas.openxmlformats.org/officeDocument/2006/relationships/hyperlink" Target="https://www.acpjournals.org/doi/10.7326/0003-4819-113-2-160" TargetMode="External"/><Relationship Id="rId31" Type="http://schemas.openxmlformats.org/officeDocument/2006/relationships/hyperlink" Target="https://www.kranio.io/en/blog/from-good-to-excellent-in-ddd-understanding-bounded-contexts-in-domain-driven-design-810" TargetMode="External"/><Relationship Id="rId30" Type="http://schemas.openxmlformats.org/officeDocument/2006/relationships/hyperlink" Target="https://martinfowler.com/bliki/BoundedContext.html" TargetMode="External"/><Relationship Id="rId33" Type="http://schemas.openxmlformats.org/officeDocument/2006/relationships/hyperlink" Target="https://pmc.ncbi.nlm.nih.gov/articles/PMC11180398/" TargetMode="External"/><Relationship Id="rId32" Type="http://schemas.openxmlformats.org/officeDocument/2006/relationships/hyperlink" Target="https://phamduyhieu.com/domain-driven-design-healthcare-platform-example" TargetMode="External"/><Relationship Id="rId35" Type="http://schemas.openxmlformats.org/officeDocument/2006/relationships/hyperlink" Target="https://www.datasunrise.com/knowledge-center/how-to-apply-data-governance-for-apache-cassandra/" TargetMode="External"/><Relationship Id="rId34" Type="http://schemas.openxmlformats.org/officeDocument/2006/relationships/hyperlink" Target="https://pmc.ncbi.nlm.nih.gov/articles/PMC4419961/" TargetMode="External"/><Relationship Id="rId37" Type="http://schemas.openxmlformats.org/officeDocument/2006/relationships/hyperlink" Target="https://stackoverflow.com/questions/32952797/implementing-bounded-context-in-domain-driven-design" TargetMode="External"/><Relationship Id="rId36" Type="http://schemas.openxmlformats.org/officeDocument/2006/relationships/hyperlink" Target="https://www.youtube.com/watch?v=8SPVfacnFvM" TargetMode="External"/><Relationship Id="rId39" Type="http://schemas.openxmlformats.org/officeDocument/2006/relationships/hyperlink" Target="https://www.frontiersin.org/journals/pharmacology/articles/10.3389/fphar.2025.1632775/full" TargetMode="External"/><Relationship Id="rId38" Type="http://schemas.openxmlformats.org/officeDocument/2006/relationships/hyperlink" Target="https://pmc.ncbi.nlm.nih.gov/articles/PMC12957528/" TargetMode="External"/><Relationship Id="rId20" Type="http://schemas.openxmlformats.org/officeDocument/2006/relationships/image" Target="media/image7.png"/><Relationship Id="rId22" Type="http://schemas.openxmlformats.org/officeDocument/2006/relationships/image" Target="media/image15.png"/><Relationship Id="rId21" Type="http://schemas.openxmlformats.org/officeDocument/2006/relationships/image" Target="media/image9.png"/><Relationship Id="rId24" Type="http://schemas.openxmlformats.org/officeDocument/2006/relationships/hyperlink" Target="https://www.frontiersin.org/journals/digital-health/articles/10.3389/fdgth.2025.1703141/full" TargetMode="External"/><Relationship Id="rId23" Type="http://schemas.openxmlformats.org/officeDocument/2006/relationships/image" Target="media/image10.png"/><Relationship Id="rId26" Type="http://schemas.openxmlformats.org/officeDocument/2006/relationships/hyperlink" Target="https://www.bridge-global.com/blog/clinical-decision-support-systems/" TargetMode="External"/><Relationship Id="rId25" Type="http://schemas.openxmlformats.org/officeDocument/2006/relationships/hyperlink" Target="https://www.ncbi.nlm.nih.gov/books/NBK600580/" TargetMode="External"/><Relationship Id="rId28" Type="http://schemas.openxmlformats.org/officeDocument/2006/relationships/hyperlink" Target="https://learn.microsoft.com/en-us/azure/architecture/microservices/model/domain-analysis" TargetMode="External"/><Relationship Id="rId27" Type="http://schemas.openxmlformats.org/officeDocument/2006/relationships/hyperlink" Target="https://pmc.ncbi.nlm.nih.gov/articles/PMC3189503/" TargetMode="External"/><Relationship Id="rId29" Type="http://schemas.openxmlformats.org/officeDocument/2006/relationships/hyperlink" Target="https://medium.com/@ahmettemelkundupoglu/domain-driven-design-ddd-in-microservices-environment-2bfe05e5ccc1" TargetMode="External"/><Relationship Id="rId95" Type="http://schemas.openxmlformats.org/officeDocument/2006/relationships/hyperlink" Target="https://www.researchprotocols.org/2025/1/e77224" TargetMode="External"/><Relationship Id="rId94" Type="http://schemas.openxmlformats.org/officeDocument/2006/relationships/hyperlink" Target="https://www.researchgate.net/figure/Study-Flowchart-Flow-of-patients-through-the-clinical-decision-support-intervention-to_fig1_364683009" TargetMode="External"/><Relationship Id="rId97" Type="http://schemas.openxmlformats.org/officeDocument/2006/relationships/hyperlink" Target="https://docs.flutter.dev/ui/accessibility" TargetMode="External"/><Relationship Id="rId96" Type="http://schemas.openxmlformats.org/officeDocument/2006/relationships/hyperlink" Target="https://www.verygood.ventures/blog/exploring-accessibility-and-digital-inclusion-with-flutter" TargetMode="External"/><Relationship Id="rId11" Type="http://schemas.openxmlformats.org/officeDocument/2006/relationships/image" Target="media/image13.png"/><Relationship Id="rId10" Type="http://schemas.openxmlformats.org/officeDocument/2006/relationships/image" Target="media/image16.png"/><Relationship Id="rId98" Type="http://schemas.openxmlformats.org/officeDocument/2006/relationships/hyperlink" Target="https://dcm.dev/blog/2025/06/30/accessibility-flutter-practical-tips-tools-code-youll-actually-use/" TargetMode="External"/><Relationship Id="rId13" Type="http://schemas.openxmlformats.org/officeDocument/2006/relationships/image" Target="media/image5.png"/><Relationship Id="rId12" Type="http://schemas.openxmlformats.org/officeDocument/2006/relationships/image" Target="media/image12.png"/><Relationship Id="rId91" Type="http://schemas.openxmlformats.org/officeDocument/2006/relationships/hyperlink" Target="https://www.health-samurai.io/articles/building-healthcare-microservices-a-fhir-native-approach" TargetMode="External"/><Relationship Id="rId90" Type="http://schemas.openxmlformats.org/officeDocument/2006/relationships/hyperlink" Target="https://pmc.ncbi.nlm.nih.gov/articles/PMC4661569/" TargetMode="External"/><Relationship Id="rId93" Type="http://schemas.openxmlformats.org/officeDocument/2006/relationships/hyperlink" Target="https://stackoverflow.com/questions/26265224/how-to-efficiently-use-batch-writes-to-cassandra-using-datastax-java-driver" TargetMode="External"/><Relationship Id="rId92" Type="http://schemas.openxmlformats.org/officeDocument/2006/relationships/hyperlink" Target="https://www.medcentral.com/meds/monitoring/what-types-risk-screening-tests-are-available-clinicians-prescribing" TargetMode="External"/><Relationship Id="rId15" Type="http://schemas.openxmlformats.org/officeDocument/2006/relationships/image" Target="media/image4.png"/><Relationship Id="rId14" Type="http://schemas.openxmlformats.org/officeDocument/2006/relationships/image" Target="media/image18.png"/><Relationship Id="rId17" Type="http://schemas.openxmlformats.org/officeDocument/2006/relationships/image" Target="media/image1.png"/><Relationship Id="rId16" Type="http://schemas.openxmlformats.org/officeDocument/2006/relationships/image" Target="media/image3.png"/><Relationship Id="rId19" Type="http://schemas.openxmlformats.org/officeDocument/2006/relationships/image" Target="media/image6.png"/><Relationship Id="rId18" Type="http://schemas.openxmlformats.org/officeDocument/2006/relationships/image" Target="media/image11.png"/><Relationship Id="rId84" Type="http://schemas.openxmlformats.org/officeDocument/2006/relationships/hyperlink" Target="https://www.syncfusion.com/blogs/post/updating-live-data-in-flutter-charts" TargetMode="External"/><Relationship Id="rId83" Type="http://schemas.openxmlformats.org/officeDocument/2006/relationships/hyperlink" Target="https://medium.com/@aiswaryasomanathan4/design-stunning-charts-with-fl-charts-in-flutter-02e6f669f505" TargetMode="External"/><Relationship Id="rId86" Type="http://schemas.openxmlformats.org/officeDocument/2006/relationships/hyperlink" Target="https://www.datasunrise.com/knowledge-center/how-to-audit-apache-cassandra/" TargetMode="External"/><Relationship Id="rId85" Type="http://schemas.openxmlformats.org/officeDocument/2006/relationships/hyperlink" Target="https://hipaatimes.com/an-overview-of-clinical-decision-support-systems" TargetMode="External"/><Relationship Id="rId88" Type="http://schemas.openxmlformats.org/officeDocument/2006/relationships/hyperlink" Target="https://tpmap.org/submission/index.php/tpm/article/download/2464/1875/5349" TargetMode="External"/><Relationship Id="rId87" Type="http://schemas.openxmlformats.org/officeDocument/2006/relationships/hyperlink" Target="https://cassandra.apache.org/doc/stable/cassandra/managing/operating/audit_logging.html" TargetMode="External"/><Relationship Id="rId89" Type="http://schemas.openxmlformats.org/officeDocument/2006/relationships/hyperlink" Target="https://www.instaclustr.com/blog/cassandra-monitoring-best-practice-guide/" TargetMode="External"/><Relationship Id="rId80" Type="http://schemas.openxmlformats.org/officeDocument/2006/relationships/hyperlink" Target="https://m2.material.io/design/usability/accessibility.html" TargetMode="External"/><Relationship Id="rId82" Type="http://schemas.openxmlformats.org/officeDocument/2006/relationships/hyperlink" Target="https://www.serdarbalci.com/jjstatsplot/articles/30-linechart-comprehensive.html" TargetMode="External"/><Relationship Id="rId81" Type="http://schemas.openxmlformats.org/officeDocument/2006/relationships/hyperlink" Target="https://docs.flutter.dev/release/breaking-changes/material-design-3-token-upd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14.png"/><Relationship Id="rId73" Type="http://schemas.openxmlformats.org/officeDocument/2006/relationships/hyperlink" Target="https://m3.material.io/foundations/design-tokens" TargetMode="External"/><Relationship Id="rId72" Type="http://schemas.openxmlformats.org/officeDocument/2006/relationships/hyperlink" Target="https://dev.to/sanjay_007/creating-beautiful-charts-in-flutter-with-flchart-3j9l" TargetMode="External"/><Relationship Id="rId75" Type="http://schemas.openxmlformats.org/officeDocument/2006/relationships/hyperlink" Target="https://m3.material.io/styles/color/roles" TargetMode="External"/><Relationship Id="rId74" Type="http://schemas.openxmlformats.org/officeDocument/2006/relationships/hyperlink" Target="https://zoewave.medium.com/material-3-design-system-e91a15d303a0" TargetMode="External"/><Relationship Id="rId77" Type="http://schemas.openxmlformats.org/officeDocument/2006/relationships/hyperlink" Target="https://penpot.app/blog/design-tokens-for-designers/" TargetMode="External"/><Relationship Id="rId76" Type="http://schemas.openxmlformats.org/officeDocument/2006/relationships/hyperlink" Target="https://brand.ucla.edu/fundamentals/accessibility/color-type" TargetMode="External"/><Relationship Id="rId79" Type="http://schemas.openxmlformats.org/officeDocument/2006/relationships/hyperlink" Target="https://m3.material.io/foundations/designing/color-contrast" TargetMode="External"/><Relationship Id="rId78" Type="http://schemas.openxmlformats.org/officeDocument/2006/relationships/hyperlink" Target="https://m3.material.io/styles/color/overview" TargetMode="External"/><Relationship Id="rId71" Type="http://schemas.openxmlformats.org/officeDocument/2006/relationships/hyperlink" Target="https://github.com/AmirBayat0/fl_chart_showcase" TargetMode="External"/><Relationship Id="rId70" Type="http://schemas.openxmlformats.org/officeDocument/2006/relationships/hyperlink" Target="https://cassandra.apache.org/doc/stable/cassandra/managing/operating/compaction/overview.html" TargetMode="External"/><Relationship Id="rId62" Type="http://schemas.openxmlformats.org/officeDocument/2006/relationships/hyperlink" Target="https://www.hipaavault.com/resources/hipaa-audit-logs/" TargetMode="External"/><Relationship Id="rId61" Type="http://schemas.openxmlformats.org/officeDocument/2006/relationships/hyperlink" Target="https://www.datasunrise.com/knowledge-center/database-audit-in-apache-cassandra/" TargetMode="External"/><Relationship Id="rId64" Type="http://schemas.openxmlformats.org/officeDocument/2006/relationships/hyperlink" Target="https://medium.com/@keshavagrawal/building-a-hipaa-grade-audit-logging-system-lessons-from-the-healthcare-trenches-d5a8bb691e3b" TargetMode="External"/><Relationship Id="rId63" Type="http://schemas.openxmlformats.org/officeDocument/2006/relationships/hyperlink" Target="https://www.clarity-ventures.com/hipaa-ecommerce/hipaa-audit-trails" TargetMode="External"/><Relationship Id="rId66" Type="http://schemas.openxmlformats.org/officeDocument/2006/relationships/hyperlink" Target="https://docs.datastax.com/en/datastax-drivers/best-practices.html" TargetMode="External"/><Relationship Id="rId65" Type="http://schemas.openxmlformats.org/officeDocument/2006/relationships/hyperlink" Target="https://www.accountablehq.com/post/audit-trail-review-a-step-by-step-guide-with-best-practices-and-a-compliance-checklist" TargetMode="External"/><Relationship Id="rId68" Type="http://schemas.openxmlformats.org/officeDocument/2006/relationships/hyperlink" Target="https://www.atatus.com/blog/nodejs-monitoring-best-practices/" TargetMode="External"/><Relationship Id="rId67" Type="http://schemas.openxmlformats.org/officeDocument/2006/relationships/hyperlink" Target="https://github.com/datastax/nodejs-driver" TargetMode="External"/><Relationship Id="rId60" Type="http://schemas.openxmlformats.org/officeDocument/2006/relationships/hyperlink" Target="https://www.instaclustr.com/education/postgresql/postgresql-tuning-6-things-you-can-do-to-improve-db-performance/" TargetMode="External"/><Relationship Id="rId69" Type="http://schemas.openxmlformats.org/officeDocument/2006/relationships/hyperlink" Target="https://www.scylladb.com/glossary/cassandra-compaction-strategy/" TargetMode="External"/><Relationship Id="rId51" Type="http://schemas.openxmlformats.org/officeDocument/2006/relationships/hyperlink" Target="https://www.ncbi.nlm.nih.gov/books/NBK355899/" TargetMode="External"/><Relationship Id="rId50" Type="http://schemas.openxmlformats.org/officeDocument/2006/relationships/hyperlink" Target="https://www.researchgate.net/figure/Substitution-of-therapeutic-equivalents-Switch-of-a-drug-to-a-therapeutic-equivalent_fig2_233786904" TargetMode="External"/><Relationship Id="rId53" Type="http://schemas.openxmlformats.org/officeDocument/2006/relationships/hyperlink" Target="https://sci-hub.red/10.1186/1472-6947-12-137" TargetMode="External"/><Relationship Id="rId52" Type="http://schemas.openxmlformats.org/officeDocument/2006/relationships/hyperlink" Target="https://www.researchgate.net/publication/377694079_A_High-Fidelity_Combined_ATC-Rxnorm_Drug_Hierarchy_for_Large-Scale_Observational_Research" TargetMode="External"/><Relationship Id="rId55" Type="http://schemas.openxmlformats.org/officeDocument/2006/relationships/hyperlink" Target="https://www.scirp.org/journal/paperinformation?paperid=143697" TargetMode="External"/><Relationship Id="rId54" Type="http://schemas.openxmlformats.org/officeDocument/2006/relationships/hyperlink" Target="https://www.mdpi.com/1424-8247/18/8/1224" TargetMode="External"/><Relationship Id="rId57" Type="http://schemas.openxmlformats.org/officeDocument/2006/relationships/hyperlink" Target="https://docs.nextgen.com/nextgenc2ae-enterprise-ehr-help-3240205/levels-of-drug-interaction-327337" TargetMode="External"/><Relationship Id="rId56" Type="http://schemas.openxmlformats.org/officeDocument/2006/relationships/hyperlink" Target="https://www.nlm.nih.gov/research/umls/rxnorm/sourcereleasedocs/atc.html" TargetMode="External"/><Relationship Id="rId59" Type="http://schemas.openxmlformats.org/officeDocument/2006/relationships/hyperlink" Target="https://www.fda.gov/media/109618/download" TargetMode="External"/><Relationship Id="rId58" Type="http://schemas.openxmlformats.org/officeDocument/2006/relationships/hyperlink" Target="https://www.wolterskluwer.com/en/solutions/uptodate/resources/facts-comparisons/drug-interac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