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1D18D0" w14:textId="77777777" w:rsidR="00BB521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center"/>
        <w:rPr>
          <w:rFonts w:ascii="Times New Roman" w:eastAsia="Times New Roman" w:hAnsi="Times New Roman" w:cs="Times New Roman"/>
          <w:b/>
          <w:color w:val="0D0D0D"/>
          <w:sz w:val="30"/>
          <w:szCs w:val="30"/>
        </w:rPr>
      </w:pPr>
      <w:r>
        <w:rPr>
          <w:rFonts w:ascii="Times New Roman" w:eastAsia="Times New Roman" w:hAnsi="Times New Roman" w:cs="Times New Roman"/>
          <w:b/>
          <w:color w:val="0D0D0D"/>
          <w:sz w:val="30"/>
          <w:szCs w:val="30"/>
        </w:rPr>
        <w:t>Structure of the US Banking System</w:t>
      </w:r>
    </w:p>
    <w:p w14:paraId="5C1D18D1" w14:textId="77777777" w:rsidR="00BB521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Submitted by Ashmita Paul</w:t>
      </w:r>
    </w:p>
    <w:p w14:paraId="5C1D18D2" w14:textId="77777777" w:rsidR="00BB521C" w:rsidRDefault="00BB521C">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Times New Roman" w:eastAsia="Times New Roman" w:hAnsi="Times New Roman" w:cs="Times New Roman"/>
          <w:color w:val="0D0D0D"/>
          <w:sz w:val="24"/>
          <w:szCs w:val="24"/>
        </w:rPr>
      </w:pPr>
    </w:p>
    <w:p w14:paraId="5C1D18D3" w14:textId="77777777" w:rsidR="00BB521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US banking system is a complex network of financial institutions that includes a wide range of services, from commercial banking to investment banking and fintech. It plays a crucial role in the economy by facilitating financial transactions, providing credit, and managing risks.</w:t>
      </w:r>
    </w:p>
    <w:p w14:paraId="5C1D18D4" w14:textId="77777777" w:rsidR="00BB521C"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sz w:val="28"/>
          <w:szCs w:val="28"/>
        </w:rPr>
      </w:pPr>
      <w:bookmarkStart w:id="0" w:name="_ehyh2bky7q6w" w:colFirst="0" w:colLast="0"/>
      <w:bookmarkEnd w:id="0"/>
      <w:r>
        <w:rPr>
          <w:rFonts w:ascii="Times New Roman" w:eastAsia="Times New Roman" w:hAnsi="Times New Roman" w:cs="Times New Roman"/>
          <w:b/>
          <w:color w:val="0D0D0D"/>
          <w:sz w:val="28"/>
          <w:szCs w:val="28"/>
        </w:rPr>
        <w:t>Evolution</w:t>
      </w:r>
    </w:p>
    <w:p w14:paraId="5C1D18D5" w14:textId="77777777" w:rsidR="00BB521C" w:rsidRDefault="00000000">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0D0D0D"/>
          <w:sz w:val="24"/>
          <w:szCs w:val="24"/>
        </w:rPr>
        <w:t>Early Banking (1791-1863): Establishment of the First and Second Banks of the United States.</w:t>
      </w:r>
    </w:p>
    <w:p w14:paraId="5C1D18D6" w14:textId="77777777" w:rsidR="00BB521C" w:rsidRDefault="00000000">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National Banking Era (1863-1913): Introduction of the National Banking Acts.</w:t>
      </w:r>
    </w:p>
    <w:p w14:paraId="5C1D18D7" w14:textId="77777777" w:rsidR="00BB521C" w:rsidRDefault="00000000">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Federal Reserve System (1913-Present): Creation of the Federal Reserve.</w:t>
      </w:r>
    </w:p>
    <w:p w14:paraId="5C1D18D8" w14:textId="77777777" w:rsidR="00BB521C" w:rsidRDefault="00000000">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t>Modern Reforms (1930s-Present): Glass-Steagall Act, Dodd-Frank Act.</w:t>
      </w:r>
    </w:p>
    <w:p w14:paraId="5C1D18D9" w14:textId="77777777" w:rsidR="00BB521C"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rPr>
      </w:pPr>
      <w:bookmarkStart w:id="1" w:name="_c6y9q3gi6e2a" w:colFirst="0" w:colLast="0"/>
      <w:bookmarkEnd w:id="1"/>
      <w:r>
        <w:rPr>
          <w:rFonts w:ascii="Times New Roman" w:eastAsia="Times New Roman" w:hAnsi="Times New Roman" w:cs="Times New Roman"/>
          <w:b/>
          <w:color w:val="0D0D0D"/>
        </w:rPr>
        <w:t>Types of Financial Institutions</w:t>
      </w:r>
    </w:p>
    <w:p w14:paraId="5C1D18DA" w14:textId="77777777" w:rsidR="00BB521C"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2" w:name="_pbk3af3fnns2" w:colFirst="0" w:colLast="0"/>
      <w:bookmarkEnd w:id="2"/>
      <w:r>
        <w:rPr>
          <w:rFonts w:ascii="Times New Roman" w:eastAsia="Times New Roman" w:hAnsi="Times New Roman" w:cs="Times New Roman"/>
          <w:b/>
          <w:color w:val="0D0D0D"/>
        </w:rPr>
        <w:t>Commercial Banks</w:t>
      </w:r>
    </w:p>
    <w:p w14:paraId="5C1D18DB" w14:textId="77777777" w:rsidR="00BB521C"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0D0D0D"/>
          <w:sz w:val="24"/>
          <w:szCs w:val="24"/>
        </w:rPr>
        <w:t>Total Assets: $22.5 trillion</w:t>
      </w:r>
    </w:p>
    <w:p w14:paraId="5C1D18DC" w14:textId="77777777" w:rsidR="00BB521C"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t>Key Players: JPMorgan Chase, Bank of America, Wells Fargo</w:t>
      </w:r>
    </w:p>
    <w:p w14:paraId="5C1D18DD" w14:textId="77777777" w:rsidR="00BB521C"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3" w:name="_kwgtrpu7dvfi" w:colFirst="0" w:colLast="0"/>
      <w:bookmarkEnd w:id="3"/>
      <w:r>
        <w:rPr>
          <w:rFonts w:ascii="Times New Roman" w:eastAsia="Times New Roman" w:hAnsi="Times New Roman" w:cs="Times New Roman"/>
          <w:b/>
          <w:color w:val="0D0D0D"/>
        </w:rPr>
        <w:t>Community Banks</w:t>
      </w:r>
    </w:p>
    <w:p w14:paraId="5C1D18DE" w14:textId="77777777" w:rsidR="00BB521C"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0D0D0D"/>
          <w:sz w:val="24"/>
          <w:szCs w:val="24"/>
        </w:rPr>
        <w:t>Total Assets: $1.3 trillion</w:t>
      </w:r>
    </w:p>
    <w:p w14:paraId="5C1D18DF" w14:textId="77777777" w:rsidR="00BB521C"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t>Characteristics: Focus on local communities, personalised services</w:t>
      </w:r>
    </w:p>
    <w:p w14:paraId="5C1D18E0" w14:textId="77777777" w:rsidR="00BB521C"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4" w:name="_ew0uddslq3to" w:colFirst="0" w:colLast="0"/>
      <w:bookmarkEnd w:id="4"/>
      <w:r>
        <w:rPr>
          <w:rFonts w:ascii="Times New Roman" w:eastAsia="Times New Roman" w:hAnsi="Times New Roman" w:cs="Times New Roman"/>
          <w:b/>
          <w:color w:val="0D0D0D"/>
        </w:rPr>
        <w:t>Credit Unions</w:t>
      </w:r>
    </w:p>
    <w:p w14:paraId="5C1D18E1" w14:textId="77777777" w:rsidR="00BB521C"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0D0D0D"/>
          <w:sz w:val="24"/>
          <w:szCs w:val="24"/>
        </w:rPr>
        <w:t>Total Assets: $2.0 trillion</w:t>
      </w:r>
    </w:p>
    <w:p w14:paraId="5C1D18E2" w14:textId="77777777" w:rsidR="00BB521C"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t>Membership: Member-owned, non-profit institutions</w:t>
      </w:r>
    </w:p>
    <w:p w14:paraId="5C1D18E3" w14:textId="77777777" w:rsidR="00BB521C"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5" w:name="_sw494yir3dm5" w:colFirst="0" w:colLast="0"/>
      <w:bookmarkEnd w:id="5"/>
      <w:r>
        <w:rPr>
          <w:rFonts w:ascii="Times New Roman" w:eastAsia="Times New Roman" w:hAnsi="Times New Roman" w:cs="Times New Roman"/>
          <w:b/>
          <w:color w:val="0D0D0D"/>
        </w:rPr>
        <w:t>Savings and Loan Associations (S&amp;Ls)</w:t>
      </w:r>
    </w:p>
    <w:p w14:paraId="5C1D18E4" w14:textId="77777777" w:rsidR="00BB521C"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0D0D0D"/>
          <w:sz w:val="24"/>
          <w:szCs w:val="24"/>
        </w:rPr>
        <w:t>Total Assets: $0.9 trillion</w:t>
      </w:r>
    </w:p>
    <w:p w14:paraId="5C1D18E5" w14:textId="77777777" w:rsidR="00BB521C"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t>Focus: Mortgage lending</w:t>
      </w:r>
    </w:p>
    <w:p w14:paraId="5C1D18E6" w14:textId="77777777" w:rsidR="00BB521C" w:rsidRDefault="00BB521C">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6" w:name="_qqturgbnphqs" w:colFirst="0" w:colLast="0"/>
      <w:bookmarkEnd w:id="6"/>
    </w:p>
    <w:p w14:paraId="5C1D18E7" w14:textId="77777777" w:rsidR="00BB521C"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7" w:name="_jov6j8rzl0d" w:colFirst="0" w:colLast="0"/>
      <w:bookmarkEnd w:id="7"/>
      <w:r>
        <w:rPr>
          <w:rFonts w:ascii="Times New Roman" w:eastAsia="Times New Roman" w:hAnsi="Times New Roman" w:cs="Times New Roman"/>
          <w:b/>
          <w:color w:val="0D0D0D"/>
        </w:rPr>
        <w:lastRenderedPageBreak/>
        <w:t>Investment Banks</w:t>
      </w:r>
    </w:p>
    <w:p w14:paraId="5C1D18E8" w14:textId="77777777" w:rsidR="00BB521C"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0D0D0D"/>
          <w:sz w:val="24"/>
          <w:szCs w:val="24"/>
        </w:rPr>
        <w:t>Total Assets: $5.5 trillion</w:t>
      </w:r>
    </w:p>
    <w:p w14:paraId="5C1D18E9" w14:textId="77777777" w:rsidR="00BB521C"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t>Key Players: Goldman Sachs, Morgan Stanley</w:t>
      </w:r>
    </w:p>
    <w:p w14:paraId="5C1D18EA" w14:textId="77777777" w:rsidR="00BB521C"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rPr>
      </w:pPr>
      <w:bookmarkStart w:id="8" w:name="_uowjv8ciauv9" w:colFirst="0" w:colLast="0"/>
      <w:bookmarkEnd w:id="8"/>
      <w:r>
        <w:rPr>
          <w:rFonts w:ascii="Times New Roman" w:eastAsia="Times New Roman" w:hAnsi="Times New Roman" w:cs="Times New Roman"/>
          <w:b/>
          <w:color w:val="0D0D0D"/>
        </w:rPr>
        <w:t>Regulatory Framework</w:t>
      </w:r>
    </w:p>
    <w:p w14:paraId="5C1D18EB" w14:textId="77777777" w:rsidR="00BB521C"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9" w:name="_p1frwj9io8ze" w:colFirst="0" w:colLast="0"/>
      <w:bookmarkEnd w:id="9"/>
      <w:r>
        <w:rPr>
          <w:rFonts w:ascii="Times New Roman" w:eastAsia="Times New Roman" w:hAnsi="Times New Roman" w:cs="Times New Roman"/>
          <w:b/>
          <w:color w:val="0D0D0D"/>
        </w:rPr>
        <w:t>Key Regulatory Bodies</w:t>
      </w:r>
    </w:p>
    <w:p w14:paraId="5C1D18EC" w14:textId="77777777" w:rsidR="00BB521C"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0D0D0D"/>
          <w:sz w:val="24"/>
          <w:szCs w:val="24"/>
        </w:rPr>
        <w:t>Federal Reserve System (Fed)</w:t>
      </w:r>
    </w:p>
    <w:p w14:paraId="5C1D18ED" w14:textId="77777777" w:rsidR="00BB521C"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Office of the Comptroller of the Currency (OCC)</w:t>
      </w:r>
    </w:p>
    <w:p w14:paraId="5C1D18EE" w14:textId="77777777" w:rsidR="00BB521C"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Federal Deposit Insurance Corporation (FDIC)</w:t>
      </w:r>
    </w:p>
    <w:p w14:paraId="5C1D18F2" w14:textId="3C79530A" w:rsidR="00BB521C" w:rsidRPr="001C636F" w:rsidRDefault="00000000" w:rsidP="001C636F">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t>Consumer Financial Protection Bureau (CFPB</w:t>
      </w:r>
      <w:bookmarkStart w:id="10" w:name="_r5eopux7gndq" w:colFirst="0" w:colLast="0"/>
      <w:bookmarkEnd w:id="10"/>
      <w:r>
        <w:rPr>
          <w:rFonts w:ascii="Times New Roman" w:eastAsia="Times New Roman" w:hAnsi="Times New Roman" w:cs="Times New Roman"/>
          <w:color w:val="0D0D0D"/>
          <w:sz w:val="24"/>
          <w:szCs w:val="24"/>
        </w:rPr>
        <w:t>)</w:t>
      </w:r>
    </w:p>
    <w:p w14:paraId="5C1D18F3" w14:textId="77777777" w:rsidR="00BB521C"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11" w:name="_dtimz2fb96qp" w:colFirst="0" w:colLast="0"/>
      <w:bookmarkEnd w:id="11"/>
      <w:r>
        <w:rPr>
          <w:rFonts w:ascii="Times New Roman" w:eastAsia="Times New Roman" w:hAnsi="Times New Roman" w:cs="Times New Roman"/>
          <w:b/>
          <w:color w:val="0D0D0D"/>
        </w:rPr>
        <w:t>Organisational Structure</w:t>
      </w:r>
    </w:p>
    <w:p w14:paraId="5C1D18F4" w14:textId="77777777" w:rsidR="00BB521C"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0D0D0D"/>
          <w:sz w:val="24"/>
          <w:szCs w:val="24"/>
        </w:rPr>
        <w:t>Commercial Banking: Deposits, loans, mortgages.</w:t>
      </w:r>
    </w:p>
    <w:p w14:paraId="5C1D18F5" w14:textId="77777777" w:rsidR="00BB521C"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Retail Banking: Personal banking services.</w:t>
      </w:r>
    </w:p>
    <w:p w14:paraId="5C1D18F6" w14:textId="77777777" w:rsidR="00BB521C"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t>Investment Banking: Capital markets, advisory services.</w:t>
      </w:r>
    </w:p>
    <w:p w14:paraId="5C1D18F7" w14:textId="77777777" w:rsidR="00BB521C"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rPr>
      </w:pPr>
      <w:bookmarkStart w:id="12" w:name="_awb8kwa3qvdm" w:colFirst="0" w:colLast="0"/>
      <w:bookmarkEnd w:id="12"/>
      <w:r>
        <w:rPr>
          <w:rFonts w:ascii="Times New Roman" w:eastAsia="Times New Roman" w:hAnsi="Times New Roman" w:cs="Times New Roman"/>
          <w:b/>
          <w:color w:val="0D0D0D"/>
        </w:rPr>
        <w:t>Key Metrics and Financial Data</w:t>
      </w:r>
    </w:p>
    <w:p w14:paraId="5C1D18F8" w14:textId="77777777" w:rsidR="00BB521C"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13" w:name="_eapdg13lur9r" w:colFirst="0" w:colLast="0"/>
      <w:bookmarkEnd w:id="13"/>
      <w:r>
        <w:rPr>
          <w:rFonts w:ascii="Times New Roman" w:eastAsia="Times New Roman" w:hAnsi="Times New Roman" w:cs="Times New Roman"/>
          <w:b/>
          <w:color w:val="0D0D0D"/>
        </w:rPr>
        <w:t>Total Assets and Liabilities</w:t>
      </w:r>
    </w:p>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2709"/>
        <w:gridCol w:w="3119"/>
        <w:gridCol w:w="3197"/>
      </w:tblGrid>
      <w:tr w:rsidR="00BB521C" w14:paraId="5C1D18FC" w14:textId="77777777">
        <w:trPr>
          <w:trHeight w:val="710"/>
        </w:trPr>
        <w:tc>
          <w:tcPr>
            <w:tcW w:w="2708" w:type="dxa"/>
            <w:tcBorders>
              <w:top w:val="single" w:sz="5" w:space="0" w:color="0D0D0D"/>
              <w:left w:val="single" w:sz="5" w:space="0" w:color="0D0D0D"/>
              <w:bottom w:val="single" w:sz="5" w:space="0" w:color="0D0D0D"/>
              <w:right w:val="nil"/>
            </w:tcBorders>
            <w:tcMar>
              <w:top w:w="100" w:type="dxa"/>
              <w:left w:w="0" w:type="dxa"/>
              <w:bottom w:w="100" w:type="dxa"/>
              <w:right w:w="100" w:type="dxa"/>
            </w:tcMar>
            <w:vAlign w:val="bottom"/>
          </w:tcPr>
          <w:p w14:paraId="5C1D18F9" w14:textId="77777777" w:rsidR="00BB521C" w:rsidRDefault="00000000">
            <w:pPr>
              <w:spacing w:line="411"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Type of Bank</w:t>
            </w:r>
          </w:p>
        </w:tc>
        <w:tc>
          <w:tcPr>
            <w:tcW w:w="3119" w:type="dxa"/>
            <w:tcBorders>
              <w:top w:val="single" w:sz="5" w:space="0" w:color="0D0D0D"/>
              <w:left w:val="single" w:sz="5" w:space="0" w:color="0D0D0D"/>
              <w:bottom w:val="single" w:sz="5" w:space="0" w:color="0D0D0D"/>
              <w:right w:val="nil"/>
            </w:tcBorders>
            <w:tcMar>
              <w:top w:w="100" w:type="dxa"/>
              <w:left w:w="100" w:type="dxa"/>
              <w:bottom w:w="100" w:type="dxa"/>
              <w:right w:w="100" w:type="dxa"/>
            </w:tcMar>
            <w:vAlign w:val="bottom"/>
          </w:tcPr>
          <w:p w14:paraId="5C1D18FA" w14:textId="77777777" w:rsidR="00BB521C" w:rsidRDefault="00000000">
            <w:pPr>
              <w:spacing w:line="411"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Total Assets (in trillions)</w:t>
            </w:r>
          </w:p>
        </w:tc>
        <w:tc>
          <w:tcPr>
            <w:tcW w:w="3197" w:type="dxa"/>
            <w:tcBorders>
              <w:top w:val="single" w:sz="5" w:space="0" w:color="0D0D0D"/>
              <w:left w:val="single" w:sz="5" w:space="0" w:color="0D0D0D"/>
              <w:bottom w:val="single" w:sz="5" w:space="0" w:color="0D0D0D"/>
              <w:right w:val="single" w:sz="5" w:space="0" w:color="0D0D0D"/>
            </w:tcBorders>
            <w:tcMar>
              <w:top w:w="100" w:type="dxa"/>
              <w:left w:w="100" w:type="dxa"/>
              <w:bottom w:w="100" w:type="dxa"/>
              <w:right w:w="0" w:type="dxa"/>
            </w:tcMar>
            <w:vAlign w:val="bottom"/>
          </w:tcPr>
          <w:p w14:paraId="5C1D18FB" w14:textId="77777777" w:rsidR="00BB521C" w:rsidRDefault="00000000">
            <w:pPr>
              <w:spacing w:line="411"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Total Liabilities (in trillions)</w:t>
            </w:r>
          </w:p>
        </w:tc>
      </w:tr>
      <w:tr w:rsidR="00BB521C" w14:paraId="5C1D1900" w14:textId="77777777">
        <w:trPr>
          <w:trHeight w:val="695"/>
        </w:trPr>
        <w:tc>
          <w:tcPr>
            <w:tcW w:w="2708"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8FD"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Commercial Banks</w:t>
            </w:r>
          </w:p>
        </w:tc>
        <w:tc>
          <w:tcPr>
            <w:tcW w:w="3119"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8FE"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$22.5</w:t>
            </w:r>
          </w:p>
        </w:tc>
        <w:tc>
          <w:tcPr>
            <w:tcW w:w="3197"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8FF"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$20.8</w:t>
            </w:r>
          </w:p>
        </w:tc>
      </w:tr>
      <w:tr w:rsidR="00BB521C" w14:paraId="5C1D1904" w14:textId="77777777">
        <w:trPr>
          <w:trHeight w:val="695"/>
        </w:trPr>
        <w:tc>
          <w:tcPr>
            <w:tcW w:w="2708"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01"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Community Banks</w:t>
            </w:r>
          </w:p>
        </w:tc>
        <w:tc>
          <w:tcPr>
            <w:tcW w:w="3119"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902"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$1.3</w:t>
            </w:r>
          </w:p>
        </w:tc>
        <w:tc>
          <w:tcPr>
            <w:tcW w:w="3197"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03"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$1.1</w:t>
            </w:r>
          </w:p>
        </w:tc>
      </w:tr>
      <w:tr w:rsidR="00BB521C" w14:paraId="5C1D1908" w14:textId="77777777">
        <w:trPr>
          <w:trHeight w:val="695"/>
        </w:trPr>
        <w:tc>
          <w:tcPr>
            <w:tcW w:w="2708"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05"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Credit Unions</w:t>
            </w:r>
          </w:p>
        </w:tc>
        <w:tc>
          <w:tcPr>
            <w:tcW w:w="3119"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906"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$2.0</w:t>
            </w:r>
          </w:p>
        </w:tc>
        <w:tc>
          <w:tcPr>
            <w:tcW w:w="3197"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07"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$1.8</w:t>
            </w:r>
          </w:p>
        </w:tc>
      </w:tr>
      <w:tr w:rsidR="00BB521C" w14:paraId="5C1D190C" w14:textId="77777777">
        <w:trPr>
          <w:trHeight w:val="695"/>
        </w:trPr>
        <w:tc>
          <w:tcPr>
            <w:tcW w:w="2708"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09"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Savings and Loan Assoc.</w:t>
            </w:r>
          </w:p>
        </w:tc>
        <w:tc>
          <w:tcPr>
            <w:tcW w:w="3119"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90A"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$0.9</w:t>
            </w:r>
          </w:p>
        </w:tc>
        <w:tc>
          <w:tcPr>
            <w:tcW w:w="3197"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0B"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$0.8</w:t>
            </w:r>
          </w:p>
        </w:tc>
      </w:tr>
      <w:tr w:rsidR="00BB521C" w14:paraId="5C1D1910" w14:textId="77777777">
        <w:trPr>
          <w:trHeight w:val="695"/>
        </w:trPr>
        <w:tc>
          <w:tcPr>
            <w:tcW w:w="2708"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0D"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Investment Banks</w:t>
            </w:r>
          </w:p>
        </w:tc>
        <w:tc>
          <w:tcPr>
            <w:tcW w:w="3119"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90E"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$5.5</w:t>
            </w:r>
          </w:p>
        </w:tc>
        <w:tc>
          <w:tcPr>
            <w:tcW w:w="3197"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0F"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$5.0</w:t>
            </w:r>
          </w:p>
        </w:tc>
      </w:tr>
    </w:tbl>
    <w:p w14:paraId="5C1D1911" w14:textId="77777777" w:rsidR="00BB521C" w:rsidRDefault="00BB521C">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14" w:name="_ps44hogeg5ym" w:colFirst="0" w:colLast="0"/>
      <w:bookmarkEnd w:id="14"/>
    </w:p>
    <w:p w14:paraId="5C1D1912" w14:textId="77777777" w:rsidR="00BB521C"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15" w:name="_hi6t6beopv2t" w:colFirst="0" w:colLast="0"/>
      <w:bookmarkEnd w:id="15"/>
      <w:r>
        <w:rPr>
          <w:rFonts w:ascii="Times New Roman" w:eastAsia="Times New Roman" w:hAnsi="Times New Roman" w:cs="Times New Roman"/>
          <w:b/>
          <w:color w:val="0D0D0D"/>
        </w:rPr>
        <w:lastRenderedPageBreak/>
        <w:t>Profitability</w:t>
      </w:r>
    </w:p>
    <w:tbl>
      <w:tblPr>
        <w:tblStyle w:val="a0"/>
        <w:tblW w:w="9025" w:type="dxa"/>
        <w:tblBorders>
          <w:top w:val="nil"/>
          <w:left w:val="nil"/>
          <w:bottom w:val="nil"/>
          <w:right w:val="nil"/>
          <w:insideH w:val="nil"/>
          <w:insideV w:val="nil"/>
        </w:tblBorders>
        <w:tblLayout w:type="fixed"/>
        <w:tblLook w:val="0600" w:firstRow="0" w:lastRow="0" w:firstColumn="0" w:lastColumn="0" w:noHBand="1" w:noVBand="1"/>
      </w:tblPr>
      <w:tblGrid>
        <w:gridCol w:w="2880"/>
        <w:gridCol w:w="3229"/>
        <w:gridCol w:w="2916"/>
      </w:tblGrid>
      <w:tr w:rsidR="00BB521C" w14:paraId="5C1D1916" w14:textId="77777777">
        <w:trPr>
          <w:trHeight w:val="710"/>
        </w:trPr>
        <w:tc>
          <w:tcPr>
            <w:tcW w:w="2879" w:type="dxa"/>
            <w:tcBorders>
              <w:top w:val="single" w:sz="5" w:space="0" w:color="0D0D0D"/>
              <w:left w:val="single" w:sz="5" w:space="0" w:color="0D0D0D"/>
              <w:bottom w:val="single" w:sz="5" w:space="0" w:color="0D0D0D"/>
              <w:right w:val="nil"/>
            </w:tcBorders>
            <w:tcMar>
              <w:top w:w="100" w:type="dxa"/>
              <w:left w:w="0" w:type="dxa"/>
              <w:bottom w:w="100" w:type="dxa"/>
              <w:right w:w="100" w:type="dxa"/>
            </w:tcMar>
            <w:vAlign w:val="bottom"/>
          </w:tcPr>
          <w:p w14:paraId="5C1D1913" w14:textId="77777777" w:rsidR="00BB521C" w:rsidRDefault="00000000">
            <w:pPr>
              <w:spacing w:line="411"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Type of Bank</w:t>
            </w:r>
          </w:p>
        </w:tc>
        <w:tc>
          <w:tcPr>
            <w:tcW w:w="3229" w:type="dxa"/>
            <w:tcBorders>
              <w:top w:val="single" w:sz="5" w:space="0" w:color="0D0D0D"/>
              <w:left w:val="single" w:sz="5" w:space="0" w:color="0D0D0D"/>
              <w:bottom w:val="single" w:sz="5" w:space="0" w:color="0D0D0D"/>
              <w:right w:val="nil"/>
            </w:tcBorders>
            <w:tcMar>
              <w:top w:w="100" w:type="dxa"/>
              <w:left w:w="100" w:type="dxa"/>
              <w:bottom w:w="100" w:type="dxa"/>
              <w:right w:w="100" w:type="dxa"/>
            </w:tcMar>
            <w:vAlign w:val="bottom"/>
          </w:tcPr>
          <w:p w14:paraId="5C1D1914" w14:textId="77777777" w:rsidR="00BB521C" w:rsidRDefault="00000000">
            <w:pPr>
              <w:spacing w:line="411"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Return on Assets (ROA)</w:t>
            </w:r>
          </w:p>
        </w:tc>
        <w:tc>
          <w:tcPr>
            <w:tcW w:w="2916" w:type="dxa"/>
            <w:tcBorders>
              <w:top w:val="single" w:sz="5" w:space="0" w:color="0D0D0D"/>
              <w:left w:val="single" w:sz="5" w:space="0" w:color="0D0D0D"/>
              <w:bottom w:val="single" w:sz="5" w:space="0" w:color="0D0D0D"/>
              <w:right w:val="single" w:sz="5" w:space="0" w:color="0D0D0D"/>
            </w:tcBorders>
            <w:tcMar>
              <w:top w:w="100" w:type="dxa"/>
              <w:left w:w="100" w:type="dxa"/>
              <w:bottom w:w="100" w:type="dxa"/>
              <w:right w:w="0" w:type="dxa"/>
            </w:tcMar>
            <w:vAlign w:val="bottom"/>
          </w:tcPr>
          <w:p w14:paraId="5C1D1915" w14:textId="77777777" w:rsidR="00BB521C" w:rsidRDefault="00000000">
            <w:pPr>
              <w:spacing w:line="411"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Return on Equity (ROE)</w:t>
            </w:r>
          </w:p>
        </w:tc>
      </w:tr>
      <w:tr w:rsidR="00BB521C" w14:paraId="5C1D191A" w14:textId="77777777">
        <w:trPr>
          <w:trHeight w:val="695"/>
        </w:trPr>
        <w:tc>
          <w:tcPr>
            <w:tcW w:w="2879"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17"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Commercial Banks</w:t>
            </w:r>
          </w:p>
        </w:tc>
        <w:tc>
          <w:tcPr>
            <w:tcW w:w="3229"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918"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1.1%</w:t>
            </w:r>
          </w:p>
        </w:tc>
        <w:tc>
          <w:tcPr>
            <w:tcW w:w="2916"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19"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10.5%</w:t>
            </w:r>
          </w:p>
        </w:tc>
      </w:tr>
      <w:tr w:rsidR="00BB521C" w14:paraId="5C1D191E" w14:textId="77777777">
        <w:trPr>
          <w:trHeight w:val="695"/>
        </w:trPr>
        <w:tc>
          <w:tcPr>
            <w:tcW w:w="2879"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1B"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Community Banks</w:t>
            </w:r>
          </w:p>
        </w:tc>
        <w:tc>
          <w:tcPr>
            <w:tcW w:w="3229"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91C"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0.9%</w:t>
            </w:r>
          </w:p>
        </w:tc>
        <w:tc>
          <w:tcPr>
            <w:tcW w:w="2916"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1D"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8.0%</w:t>
            </w:r>
          </w:p>
        </w:tc>
      </w:tr>
      <w:tr w:rsidR="00BB521C" w14:paraId="5C1D1922" w14:textId="77777777">
        <w:trPr>
          <w:trHeight w:val="695"/>
        </w:trPr>
        <w:tc>
          <w:tcPr>
            <w:tcW w:w="2879"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1F"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Credit Unions</w:t>
            </w:r>
          </w:p>
        </w:tc>
        <w:tc>
          <w:tcPr>
            <w:tcW w:w="3229"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920"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0.8%</w:t>
            </w:r>
          </w:p>
        </w:tc>
        <w:tc>
          <w:tcPr>
            <w:tcW w:w="2916"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21"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7.5%</w:t>
            </w:r>
          </w:p>
        </w:tc>
      </w:tr>
      <w:tr w:rsidR="00BB521C" w14:paraId="5C1D1926" w14:textId="77777777">
        <w:trPr>
          <w:trHeight w:val="695"/>
        </w:trPr>
        <w:tc>
          <w:tcPr>
            <w:tcW w:w="2879"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23"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Savings and Loan Assoc.</w:t>
            </w:r>
          </w:p>
        </w:tc>
        <w:tc>
          <w:tcPr>
            <w:tcW w:w="3229"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924"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0.7%</w:t>
            </w:r>
          </w:p>
        </w:tc>
        <w:tc>
          <w:tcPr>
            <w:tcW w:w="2916"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25"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6.5%</w:t>
            </w:r>
          </w:p>
        </w:tc>
      </w:tr>
      <w:tr w:rsidR="00BB521C" w14:paraId="5C1D192A" w14:textId="77777777">
        <w:trPr>
          <w:trHeight w:val="695"/>
        </w:trPr>
        <w:tc>
          <w:tcPr>
            <w:tcW w:w="2879"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27"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Investment Banks</w:t>
            </w:r>
          </w:p>
        </w:tc>
        <w:tc>
          <w:tcPr>
            <w:tcW w:w="3229"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928"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1.5%</w:t>
            </w:r>
          </w:p>
        </w:tc>
        <w:tc>
          <w:tcPr>
            <w:tcW w:w="2916"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29"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12.0%</w:t>
            </w:r>
          </w:p>
        </w:tc>
      </w:tr>
    </w:tbl>
    <w:p w14:paraId="5C1D192B" w14:textId="77777777" w:rsidR="00BB521C" w:rsidRDefault="00BB521C">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16" w:name="_rl2bmlybr8k4" w:colFirst="0" w:colLast="0"/>
      <w:bookmarkEnd w:id="16"/>
    </w:p>
    <w:p w14:paraId="5C1D192C" w14:textId="77777777" w:rsidR="00BB521C" w:rsidRDefault="00BB521C">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17" w:name="_c9fvs9f8vb5b" w:colFirst="0" w:colLast="0"/>
      <w:bookmarkEnd w:id="17"/>
    </w:p>
    <w:p w14:paraId="5C1D192D" w14:textId="77777777" w:rsidR="00BB521C" w:rsidRDefault="00BB521C"/>
    <w:p w14:paraId="5C1D192E" w14:textId="77777777" w:rsidR="00BB521C"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18" w:name="_pb85p84iv8bw" w:colFirst="0" w:colLast="0"/>
      <w:bookmarkEnd w:id="18"/>
      <w:r>
        <w:rPr>
          <w:rFonts w:ascii="Times New Roman" w:eastAsia="Times New Roman" w:hAnsi="Times New Roman" w:cs="Times New Roman"/>
          <w:b/>
          <w:color w:val="0D0D0D"/>
        </w:rPr>
        <w:t>Loan and Deposit Growth</w:t>
      </w:r>
    </w:p>
    <w:tbl>
      <w:tblPr>
        <w:tblStyle w:val="a1"/>
        <w:tblW w:w="9025" w:type="dxa"/>
        <w:tblBorders>
          <w:top w:val="nil"/>
          <w:left w:val="nil"/>
          <w:bottom w:val="nil"/>
          <w:right w:val="nil"/>
          <w:insideH w:val="nil"/>
          <w:insideV w:val="nil"/>
        </w:tblBorders>
        <w:tblLayout w:type="fixed"/>
        <w:tblLook w:val="0600" w:firstRow="0" w:lastRow="0" w:firstColumn="0" w:lastColumn="0" w:noHBand="1" w:noVBand="1"/>
      </w:tblPr>
      <w:tblGrid>
        <w:gridCol w:w="3120"/>
        <w:gridCol w:w="2920"/>
        <w:gridCol w:w="2985"/>
      </w:tblGrid>
      <w:tr w:rsidR="00BB521C" w14:paraId="5C1D1932" w14:textId="77777777">
        <w:trPr>
          <w:trHeight w:val="710"/>
        </w:trPr>
        <w:tc>
          <w:tcPr>
            <w:tcW w:w="3119" w:type="dxa"/>
            <w:tcBorders>
              <w:top w:val="single" w:sz="5" w:space="0" w:color="0D0D0D"/>
              <w:left w:val="single" w:sz="5" w:space="0" w:color="0D0D0D"/>
              <w:bottom w:val="single" w:sz="5" w:space="0" w:color="0D0D0D"/>
              <w:right w:val="nil"/>
            </w:tcBorders>
            <w:tcMar>
              <w:top w:w="100" w:type="dxa"/>
              <w:left w:w="0" w:type="dxa"/>
              <w:bottom w:w="100" w:type="dxa"/>
              <w:right w:w="100" w:type="dxa"/>
            </w:tcMar>
            <w:vAlign w:val="bottom"/>
          </w:tcPr>
          <w:p w14:paraId="5C1D192F" w14:textId="77777777" w:rsidR="00BB521C" w:rsidRDefault="00000000">
            <w:pPr>
              <w:spacing w:line="411"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Type of Bank</w:t>
            </w:r>
          </w:p>
        </w:tc>
        <w:tc>
          <w:tcPr>
            <w:tcW w:w="2920" w:type="dxa"/>
            <w:tcBorders>
              <w:top w:val="single" w:sz="5" w:space="0" w:color="0D0D0D"/>
              <w:left w:val="single" w:sz="5" w:space="0" w:color="0D0D0D"/>
              <w:bottom w:val="single" w:sz="5" w:space="0" w:color="0D0D0D"/>
              <w:right w:val="nil"/>
            </w:tcBorders>
            <w:tcMar>
              <w:top w:w="100" w:type="dxa"/>
              <w:left w:w="100" w:type="dxa"/>
              <w:bottom w:w="100" w:type="dxa"/>
              <w:right w:w="100" w:type="dxa"/>
            </w:tcMar>
            <w:vAlign w:val="bottom"/>
          </w:tcPr>
          <w:p w14:paraId="5C1D1930" w14:textId="77777777" w:rsidR="00BB521C" w:rsidRDefault="00000000">
            <w:pPr>
              <w:spacing w:line="411"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Loan Growth (YoY)</w:t>
            </w:r>
          </w:p>
        </w:tc>
        <w:tc>
          <w:tcPr>
            <w:tcW w:w="2985" w:type="dxa"/>
            <w:tcBorders>
              <w:top w:val="single" w:sz="5" w:space="0" w:color="0D0D0D"/>
              <w:left w:val="single" w:sz="5" w:space="0" w:color="0D0D0D"/>
              <w:bottom w:val="single" w:sz="5" w:space="0" w:color="0D0D0D"/>
              <w:right w:val="single" w:sz="5" w:space="0" w:color="0D0D0D"/>
            </w:tcBorders>
            <w:tcMar>
              <w:top w:w="100" w:type="dxa"/>
              <w:left w:w="100" w:type="dxa"/>
              <w:bottom w:w="100" w:type="dxa"/>
              <w:right w:w="0" w:type="dxa"/>
            </w:tcMar>
            <w:vAlign w:val="bottom"/>
          </w:tcPr>
          <w:p w14:paraId="5C1D1931" w14:textId="77777777" w:rsidR="00BB521C" w:rsidRDefault="00000000">
            <w:pPr>
              <w:spacing w:line="411"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Deposit Growth (YoY)</w:t>
            </w:r>
          </w:p>
        </w:tc>
      </w:tr>
      <w:tr w:rsidR="00BB521C" w14:paraId="5C1D1936" w14:textId="77777777">
        <w:trPr>
          <w:trHeight w:val="695"/>
        </w:trPr>
        <w:tc>
          <w:tcPr>
            <w:tcW w:w="3119"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33"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Commercial Banks</w:t>
            </w:r>
          </w:p>
        </w:tc>
        <w:tc>
          <w:tcPr>
            <w:tcW w:w="2920"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934"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4.5%</w:t>
            </w:r>
          </w:p>
        </w:tc>
        <w:tc>
          <w:tcPr>
            <w:tcW w:w="2985"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35"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5.0%</w:t>
            </w:r>
          </w:p>
        </w:tc>
      </w:tr>
      <w:tr w:rsidR="00BB521C" w14:paraId="5C1D193A" w14:textId="77777777">
        <w:trPr>
          <w:trHeight w:val="695"/>
        </w:trPr>
        <w:tc>
          <w:tcPr>
            <w:tcW w:w="3119"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37"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Community Banks</w:t>
            </w:r>
          </w:p>
        </w:tc>
        <w:tc>
          <w:tcPr>
            <w:tcW w:w="2920"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938"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3.0%</w:t>
            </w:r>
          </w:p>
        </w:tc>
        <w:tc>
          <w:tcPr>
            <w:tcW w:w="2985"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39"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3.5%</w:t>
            </w:r>
          </w:p>
        </w:tc>
      </w:tr>
      <w:tr w:rsidR="00BB521C" w14:paraId="5C1D193E" w14:textId="77777777">
        <w:trPr>
          <w:trHeight w:val="695"/>
        </w:trPr>
        <w:tc>
          <w:tcPr>
            <w:tcW w:w="3119"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3B"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Credit Unions</w:t>
            </w:r>
          </w:p>
        </w:tc>
        <w:tc>
          <w:tcPr>
            <w:tcW w:w="2920"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93C"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5.0%</w:t>
            </w:r>
          </w:p>
        </w:tc>
        <w:tc>
          <w:tcPr>
            <w:tcW w:w="2985"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3D"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4.8%</w:t>
            </w:r>
          </w:p>
        </w:tc>
      </w:tr>
      <w:tr w:rsidR="00BB521C" w14:paraId="5C1D1942" w14:textId="77777777">
        <w:trPr>
          <w:trHeight w:val="695"/>
        </w:trPr>
        <w:tc>
          <w:tcPr>
            <w:tcW w:w="3119"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3F"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Savings and Loan Assoc.</w:t>
            </w:r>
          </w:p>
        </w:tc>
        <w:tc>
          <w:tcPr>
            <w:tcW w:w="2920"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940"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2.5%</w:t>
            </w:r>
          </w:p>
        </w:tc>
        <w:tc>
          <w:tcPr>
            <w:tcW w:w="2985"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41"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2.8%</w:t>
            </w:r>
          </w:p>
        </w:tc>
      </w:tr>
      <w:tr w:rsidR="00BB521C" w14:paraId="5C1D1946" w14:textId="77777777">
        <w:trPr>
          <w:trHeight w:val="695"/>
        </w:trPr>
        <w:tc>
          <w:tcPr>
            <w:tcW w:w="3119"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43"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Investment Banks</w:t>
            </w:r>
          </w:p>
        </w:tc>
        <w:tc>
          <w:tcPr>
            <w:tcW w:w="2920"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944"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6.0%</w:t>
            </w:r>
          </w:p>
        </w:tc>
        <w:tc>
          <w:tcPr>
            <w:tcW w:w="2985"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45"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5.5%</w:t>
            </w:r>
          </w:p>
        </w:tc>
      </w:tr>
    </w:tbl>
    <w:p w14:paraId="5C1D194A" w14:textId="77777777" w:rsidR="00BB521C"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19" w:name="_3mvgyaotibh5" w:colFirst="0" w:colLast="0"/>
      <w:bookmarkStart w:id="20" w:name="_83ty642vv0kj" w:colFirst="0" w:colLast="0"/>
      <w:bookmarkStart w:id="21" w:name="_lnc8dfsha874" w:colFirst="0" w:colLast="0"/>
      <w:bookmarkStart w:id="22" w:name="_o8r8g9xvz4x0" w:colFirst="0" w:colLast="0"/>
      <w:bookmarkEnd w:id="19"/>
      <w:bookmarkEnd w:id="20"/>
      <w:bookmarkEnd w:id="21"/>
      <w:bookmarkEnd w:id="22"/>
      <w:r>
        <w:rPr>
          <w:rFonts w:ascii="Times New Roman" w:eastAsia="Times New Roman" w:hAnsi="Times New Roman" w:cs="Times New Roman"/>
          <w:b/>
          <w:color w:val="0D0D0D"/>
        </w:rPr>
        <w:lastRenderedPageBreak/>
        <w:t>Capital Adequacy</w:t>
      </w:r>
    </w:p>
    <w:tbl>
      <w:tblPr>
        <w:tblStyle w:val="a2"/>
        <w:tblW w:w="9025" w:type="dxa"/>
        <w:tblBorders>
          <w:top w:val="nil"/>
          <w:left w:val="nil"/>
          <w:bottom w:val="nil"/>
          <w:right w:val="nil"/>
          <w:insideH w:val="nil"/>
          <w:insideV w:val="nil"/>
        </w:tblBorders>
        <w:tblLayout w:type="fixed"/>
        <w:tblLook w:val="0600" w:firstRow="0" w:lastRow="0" w:firstColumn="0" w:lastColumn="0" w:noHBand="1" w:noVBand="1"/>
      </w:tblPr>
      <w:tblGrid>
        <w:gridCol w:w="4861"/>
        <w:gridCol w:w="4164"/>
      </w:tblGrid>
      <w:tr w:rsidR="00BB521C" w14:paraId="5C1D194D" w14:textId="77777777">
        <w:trPr>
          <w:trHeight w:val="710"/>
        </w:trPr>
        <w:tc>
          <w:tcPr>
            <w:tcW w:w="4861" w:type="dxa"/>
            <w:tcBorders>
              <w:top w:val="single" w:sz="5" w:space="0" w:color="0D0D0D"/>
              <w:left w:val="single" w:sz="5" w:space="0" w:color="0D0D0D"/>
              <w:bottom w:val="single" w:sz="5" w:space="0" w:color="0D0D0D"/>
              <w:right w:val="nil"/>
            </w:tcBorders>
            <w:tcMar>
              <w:top w:w="100" w:type="dxa"/>
              <w:left w:w="0" w:type="dxa"/>
              <w:bottom w:w="100" w:type="dxa"/>
              <w:right w:w="100" w:type="dxa"/>
            </w:tcMar>
            <w:vAlign w:val="bottom"/>
          </w:tcPr>
          <w:p w14:paraId="5C1D194B" w14:textId="77777777" w:rsidR="00BB521C" w:rsidRDefault="00000000">
            <w:pPr>
              <w:spacing w:line="411"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Type of Bank</w:t>
            </w:r>
          </w:p>
        </w:tc>
        <w:tc>
          <w:tcPr>
            <w:tcW w:w="4164" w:type="dxa"/>
            <w:tcBorders>
              <w:top w:val="single" w:sz="5" w:space="0" w:color="0D0D0D"/>
              <w:left w:val="single" w:sz="5" w:space="0" w:color="0D0D0D"/>
              <w:bottom w:val="single" w:sz="5" w:space="0" w:color="0D0D0D"/>
              <w:right w:val="single" w:sz="5" w:space="0" w:color="0D0D0D"/>
            </w:tcBorders>
            <w:tcMar>
              <w:top w:w="100" w:type="dxa"/>
              <w:left w:w="100" w:type="dxa"/>
              <w:bottom w:w="100" w:type="dxa"/>
              <w:right w:w="0" w:type="dxa"/>
            </w:tcMar>
            <w:vAlign w:val="bottom"/>
          </w:tcPr>
          <w:p w14:paraId="5C1D194C" w14:textId="77777777" w:rsidR="00BB521C" w:rsidRDefault="00000000">
            <w:pPr>
              <w:spacing w:line="411"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Tier 1 Capital Ratio</w:t>
            </w:r>
          </w:p>
        </w:tc>
      </w:tr>
      <w:tr w:rsidR="00BB521C" w14:paraId="5C1D1950" w14:textId="77777777">
        <w:trPr>
          <w:trHeight w:val="695"/>
        </w:trPr>
        <w:tc>
          <w:tcPr>
            <w:tcW w:w="4861"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4E"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Commercial Banks</w:t>
            </w:r>
          </w:p>
        </w:tc>
        <w:tc>
          <w:tcPr>
            <w:tcW w:w="4164"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4F"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12.5%</w:t>
            </w:r>
          </w:p>
        </w:tc>
      </w:tr>
      <w:tr w:rsidR="00BB521C" w14:paraId="5C1D1953" w14:textId="77777777">
        <w:trPr>
          <w:trHeight w:val="695"/>
        </w:trPr>
        <w:tc>
          <w:tcPr>
            <w:tcW w:w="4861"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51"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Community Banks</w:t>
            </w:r>
          </w:p>
        </w:tc>
        <w:tc>
          <w:tcPr>
            <w:tcW w:w="4164"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52"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11.0%</w:t>
            </w:r>
          </w:p>
        </w:tc>
      </w:tr>
      <w:tr w:rsidR="00BB521C" w14:paraId="5C1D1956" w14:textId="77777777">
        <w:trPr>
          <w:trHeight w:val="695"/>
        </w:trPr>
        <w:tc>
          <w:tcPr>
            <w:tcW w:w="4861"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54"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Credit Unions</w:t>
            </w:r>
          </w:p>
        </w:tc>
        <w:tc>
          <w:tcPr>
            <w:tcW w:w="4164"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55"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10.0%</w:t>
            </w:r>
          </w:p>
        </w:tc>
      </w:tr>
      <w:tr w:rsidR="00BB521C" w14:paraId="5C1D1959" w14:textId="77777777">
        <w:trPr>
          <w:trHeight w:val="695"/>
        </w:trPr>
        <w:tc>
          <w:tcPr>
            <w:tcW w:w="4861"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57"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Savings and Loan Assoc.</w:t>
            </w:r>
          </w:p>
        </w:tc>
        <w:tc>
          <w:tcPr>
            <w:tcW w:w="4164"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58"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9.5%</w:t>
            </w:r>
          </w:p>
        </w:tc>
      </w:tr>
      <w:tr w:rsidR="00BB521C" w14:paraId="5C1D195C" w14:textId="77777777">
        <w:trPr>
          <w:trHeight w:val="695"/>
        </w:trPr>
        <w:tc>
          <w:tcPr>
            <w:tcW w:w="4861"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5A"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Investment Banks</w:t>
            </w:r>
          </w:p>
        </w:tc>
        <w:tc>
          <w:tcPr>
            <w:tcW w:w="4164"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5B"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14.0%</w:t>
            </w:r>
          </w:p>
        </w:tc>
      </w:tr>
    </w:tbl>
    <w:p w14:paraId="5C1D195D" w14:textId="77777777" w:rsidR="00BB521C" w:rsidRDefault="00BB521C">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23" w:name="_27uxt39vhdv" w:colFirst="0" w:colLast="0"/>
      <w:bookmarkEnd w:id="23"/>
    </w:p>
    <w:p w14:paraId="5C1D195E" w14:textId="77777777" w:rsidR="00BB521C" w:rsidRDefault="00BB521C"/>
    <w:p w14:paraId="5C1D195F" w14:textId="77777777" w:rsidR="00BB521C"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jc w:val="center"/>
        <w:rPr>
          <w:rFonts w:ascii="Times New Roman" w:eastAsia="Times New Roman" w:hAnsi="Times New Roman" w:cs="Times New Roman"/>
          <w:b/>
          <w:color w:val="0D0D0D"/>
        </w:rPr>
      </w:pPr>
      <w:bookmarkStart w:id="24" w:name="_xkgies1ulsvf" w:colFirst="0" w:colLast="0"/>
      <w:bookmarkEnd w:id="24"/>
      <w:r>
        <w:rPr>
          <w:rFonts w:ascii="Times New Roman" w:eastAsia="Times New Roman" w:hAnsi="Times New Roman" w:cs="Times New Roman"/>
          <w:b/>
          <w:noProof/>
          <w:color w:val="0D0D0D"/>
        </w:rPr>
        <w:drawing>
          <wp:inline distT="114300" distB="114300" distL="114300" distR="114300" wp14:anchorId="5C1D19A0" wp14:editId="5C1D19A1">
            <wp:extent cx="6020761" cy="267997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6020761" cy="2679973"/>
                    </a:xfrm>
                    <a:prstGeom prst="rect">
                      <a:avLst/>
                    </a:prstGeom>
                    <a:ln/>
                  </pic:spPr>
                </pic:pic>
              </a:graphicData>
            </a:graphic>
          </wp:inline>
        </w:drawing>
      </w:r>
    </w:p>
    <w:p w14:paraId="5C1D1960" w14:textId="77777777" w:rsidR="00BB521C" w:rsidRDefault="00BB521C">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rPr>
      </w:pPr>
      <w:bookmarkStart w:id="25" w:name="_yp3ypyqissgy" w:colFirst="0" w:colLast="0"/>
      <w:bookmarkEnd w:id="25"/>
    </w:p>
    <w:p w14:paraId="78268CEA" w14:textId="77777777" w:rsidR="001C636F" w:rsidRDefault="001C636F" w:rsidP="001C636F"/>
    <w:p w14:paraId="59F3CD81" w14:textId="77777777" w:rsidR="001C636F" w:rsidRDefault="001C636F" w:rsidP="001C636F"/>
    <w:p w14:paraId="4F296DC9" w14:textId="77777777" w:rsidR="001C636F" w:rsidRDefault="001C636F" w:rsidP="001C636F"/>
    <w:p w14:paraId="6B45EED5" w14:textId="77777777" w:rsidR="001C636F" w:rsidRPr="001C636F" w:rsidRDefault="001C636F" w:rsidP="001C636F"/>
    <w:p w14:paraId="5C1D1961" w14:textId="77777777" w:rsidR="00BB521C"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rPr>
      </w:pPr>
      <w:bookmarkStart w:id="26" w:name="_1sa6juyh6jx1" w:colFirst="0" w:colLast="0"/>
      <w:bookmarkEnd w:id="26"/>
      <w:r>
        <w:rPr>
          <w:rFonts w:ascii="Times New Roman" w:eastAsia="Times New Roman" w:hAnsi="Times New Roman" w:cs="Times New Roman"/>
          <w:b/>
          <w:color w:val="0D0D0D"/>
        </w:rPr>
        <w:lastRenderedPageBreak/>
        <w:t>Technological Advancements</w:t>
      </w:r>
    </w:p>
    <w:p w14:paraId="5C1D1962" w14:textId="77777777" w:rsidR="00BB521C"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27" w:name="_2elhhxxxldgj" w:colFirst="0" w:colLast="0"/>
      <w:bookmarkEnd w:id="27"/>
      <w:r>
        <w:rPr>
          <w:rFonts w:ascii="Times New Roman" w:eastAsia="Times New Roman" w:hAnsi="Times New Roman" w:cs="Times New Roman"/>
          <w:b/>
          <w:color w:val="0D0D0D"/>
        </w:rPr>
        <w:t>Fintech Integration</w:t>
      </w:r>
    </w:p>
    <w:p w14:paraId="5C1D1963" w14:textId="77777777" w:rsidR="00BB521C"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0D0D0D"/>
          <w:sz w:val="24"/>
          <w:szCs w:val="24"/>
        </w:rPr>
        <w:t>Online Banking: Increased accessibility and convenience.</w:t>
      </w:r>
    </w:p>
    <w:p w14:paraId="5C1D1964" w14:textId="77777777" w:rsidR="00BB521C"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Mobile Payments: Rise of apps like Venmo and Zelle.</w:t>
      </w:r>
    </w:p>
    <w:p w14:paraId="5C1D1965" w14:textId="77777777" w:rsidR="00BB521C"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t>Robo-Advisors: Automated investment advice.</w:t>
      </w:r>
    </w:p>
    <w:p w14:paraId="5C1D1966" w14:textId="77777777" w:rsidR="00BB521C"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rPr>
      </w:pPr>
      <w:bookmarkStart w:id="28" w:name="_2b80vlcfr2y7" w:colFirst="0" w:colLast="0"/>
      <w:bookmarkEnd w:id="28"/>
      <w:r>
        <w:rPr>
          <w:rFonts w:ascii="Times New Roman" w:eastAsia="Times New Roman" w:hAnsi="Times New Roman" w:cs="Times New Roman"/>
          <w:b/>
          <w:color w:val="0D0D0D"/>
        </w:rPr>
        <w:t>Risk Management</w:t>
      </w:r>
    </w:p>
    <w:p w14:paraId="5C1D1967" w14:textId="77777777" w:rsidR="00BB521C"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29" w:name="_9ktzjwk3mzuf" w:colFirst="0" w:colLast="0"/>
      <w:bookmarkEnd w:id="29"/>
      <w:r>
        <w:rPr>
          <w:rFonts w:ascii="Times New Roman" w:eastAsia="Times New Roman" w:hAnsi="Times New Roman" w:cs="Times New Roman"/>
          <w:b/>
          <w:color w:val="0D0D0D"/>
        </w:rPr>
        <w:t>Common Risks</w:t>
      </w:r>
    </w:p>
    <w:p w14:paraId="5C1D1968" w14:textId="77777777" w:rsidR="00BB521C" w:rsidRDefault="00000000">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0D0D0D"/>
          <w:sz w:val="24"/>
          <w:szCs w:val="24"/>
        </w:rPr>
        <w:t>Credit Risk: Risk of default on loans.</w:t>
      </w:r>
    </w:p>
    <w:p w14:paraId="5C1D1969" w14:textId="77777777" w:rsidR="00BB521C" w:rsidRDefault="00000000">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Market Risk: Risk of losses due to market fluctuations.</w:t>
      </w:r>
    </w:p>
    <w:p w14:paraId="5C1D196A" w14:textId="77777777" w:rsidR="00BB521C" w:rsidRDefault="00000000">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t>Operational Risk: Risk of loss from inadequate or failed internal processes.</w:t>
      </w:r>
    </w:p>
    <w:p w14:paraId="5C1D196B" w14:textId="77777777" w:rsidR="00BB521C"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30" w:name="_g0dwcl3y6hhm" w:colFirst="0" w:colLast="0"/>
      <w:bookmarkEnd w:id="30"/>
      <w:r>
        <w:rPr>
          <w:rFonts w:ascii="Times New Roman" w:eastAsia="Times New Roman" w:hAnsi="Times New Roman" w:cs="Times New Roman"/>
          <w:b/>
          <w:color w:val="0D0D0D"/>
        </w:rPr>
        <w:t>Risk Management Practices</w:t>
      </w:r>
    </w:p>
    <w:p w14:paraId="5C1D196C" w14:textId="77777777" w:rsidR="00BB521C"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0D0D0D"/>
          <w:sz w:val="24"/>
          <w:szCs w:val="24"/>
        </w:rPr>
        <w:t>Stress Testing: Assessing bank resilience under adverse conditions.</w:t>
      </w:r>
    </w:p>
    <w:p w14:paraId="5C1D196D" w14:textId="77777777" w:rsidR="00BB521C"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t>Capital Buffers: Maintaining extra capital to absorb shocks.</w:t>
      </w:r>
    </w:p>
    <w:p w14:paraId="5C1D196E" w14:textId="77777777" w:rsidR="00BB521C"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rPr>
      </w:pPr>
      <w:bookmarkStart w:id="31" w:name="_j96bhtaid6cj" w:colFirst="0" w:colLast="0"/>
      <w:bookmarkEnd w:id="31"/>
      <w:r>
        <w:rPr>
          <w:rFonts w:ascii="Times New Roman" w:eastAsia="Times New Roman" w:hAnsi="Times New Roman" w:cs="Times New Roman"/>
          <w:b/>
          <w:color w:val="0D0D0D"/>
        </w:rPr>
        <w:t>Challenges and Opportunities</w:t>
      </w:r>
    </w:p>
    <w:p w14:paraId="5C1D196F" w14:textId="77777777" w:rsidR="00BB521C"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32" w:name="_uv74fjk1sdpz" w:colFirst="0" w:colLast="0"/>
      <w:bookmarkEnd w:id="32"/>
      <w:r>
        <w:rPr>
          <w:rFonts w:ascii="Times New Roman" w:eastAsia="Times New Roman" w:hAnsi="Times New Roman" w:cs="Times New Roman"/>
          <w:b/>
          <w:color w:val="0D0D0D"/>
        </w:rPr>
        <w:t>Current Challenges</w:t>
      </w:r>
    </w:p>
    <w:p w14:paraId="5C1D1970" w14:textId="77777777" w:rsidR="00BB521C"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0D0D0D"/>
          <w:sz w:val="24"/>
          <w:szCs w:val="24"/>
        </w:rPr>
        <w:t>Cybersecurity: Growing threat of cyber-attacks.</w:t>
      </w:r>
    </w:p>
    <w:p w14:paraId="5C1D1971" w14:textId="77777777" w:rsidR="00BB521C"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Regulatory Compliance: Complex and evolving regulatory landscape.</w:t>
      </w:r>
    </w:p>
    <w:p w14:paraId="5C1D1972" w14:textId="77777777" w:rsidR="00BB521C"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t>Competition: Increasing competition from fintech companies.</w:t>
      </w:r>
    </w:p>
    <w:p w14:paraId="5C1D1973" w14:textId="77777777" w:rsidR="00BB521C"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33" w:name="_dvnhapy1edy3" w:colFirst="0" w:colLast="0"/>
      <w:bookmarkEnd w:id="33"/>
      <w:r>
        <w:rPr>
          <w:rFonts w:ascii="Times New Roman" w:eastAsia="Times New Roman" w:hAnsi="Times New Roman" w:cs="Times New Roman"/>
          <w:b/>
          <w:color w:val="0D0D0D"/>
        </w:rPr>
        <w:t>Opportunities</w:t>
      </w:r>
    </w:p>
    <w:p w14:paraId="5C1D1974" w14:textId="77777777" w:rsidR="00BB521C"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0D0D0D"/>
          <w:sz w:val="24"/>
          <w:szCs w:val="24"/>
        </w:rPr>
        <w:t>Digital Transformation: Potential for efficiency gains and better customer service.</w:t>
      </w:r>
    </w:p>
    <w:p w14:paraId="5C1D1975" w14:textId="77777777" w:rsidR="00BB521C"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t>Sustainable Finance: Growth in green finance and ESG (Environmental, Social, Governance) investments.</w:t>
      </w:r>
    </w:p>
    <w:p w14:paraId="5C1D1977" w14:textId="77777777" w:rsidR="00BB521C"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rPr>
      </w:pPr>
      <w:bookmarkStart w:id="34" w:name="_2eoi8hswnx3f" w:colFirst="0" w:colLast="0"/>
      <w:bookmarkStart w:id="35" w:name="_eh71ka60y753" w:colFirst="0" w:colLast="0"/>
      <w:bookmarkEnd w:id="34"/>
      <w:bookmarkEnd w:id="35"/>
      <w:r>
        <w:rPr>
          <w:rFonts w:ascii="Times New Roman" w:eastAsia="Times New Roman" w:hAnsi="Times New Roman" w:cs="Times New Roman"/>
          <w:b/>
          <w:color w:val="0D0D0D"/>
        </w:rPr>
        <w:t>Future Outlook</w:t>
      </w:r>
    </w:p>
    <w:p w14:paraId="5C1D1978" w14:textId="77777777" w:rsidR="00BB521C"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36" w:name="_1bl8qi611xf2" w:colFirst="0" w:colLast="0"/>
      <w:bookmarkEnd w:id="36"/>
      <w:r>
        <w:rPr>
          <w:rFonts w:ascii="Times New Roman" w:eastAsia="Times New Roman" w:hAnsi="Times New Roman" w:cs="Times New Roman"/>
          <w:b/>
          <w:color w:val="0D0D0D"/>
        </w:rPr>
        <w:t>Digital Transformation</w:t>
      </w:r>
    </w:p>
    <w:p w14:paraId="5C1D1979" w14:textId="77777777" w:rsidR="00BB521C"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0D0D0D"/>
          <w:sz w:val="24"/>
          <w:szCs w:val="24"/>
        </w:rPr>
        <w:t>Blockchain: Potential to revolutionise payment systems and securities trading.</w:t>
      </w:r>
    </w:p>
    <w:p w14:paraId="5C1D197A" w14:textId="77777777" w:rsidR="00BB521C"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t>Artificial Intelligence: Enhanced fraud detection and personalised banking services.</w:t>
      </w:r>
    </w:p>
    <w:p w14:paraId="5C1D197B" w14:textId="77777777" w:rsidR="00BB521C"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37" w:name="_nfe71onp5r9" w:colFirst="0" w:colLast="0"/>
      <w:bookmarkEnd w:id="37"/>
      <w:r>
        <w:rPr>
          <w:rFonts w:ascii="Times New Roman" w:eastAsia="Times New Roman" w:hAnsi="Times New Roman" w:cs="Times New Roman"/>
          <w:b/>
          <w:color w:val="0D0D0D"/>
        </w:rPr>
        <w:lastRenderedPageBreak/>
        <w:t>Regulatory Changes</w:t>
      </w:r>
    </w:p>
    <w:p w14:paraId="5C1D197C" w14:textId="77777777" w:rsidR="00BB521C"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0D0D0D"/>
          <w:sz w:val="24"/>
          <w:szCs w:val="24"/>
        </w:rPr>
        <w:t>Adapting to Fintech: New regulations to address fintech innovations while promoting growth.</w:t>
      </w:r>
    </w:p>
    <w:p w14:paraId="5C1D197D" w14:textId="77777777" w:rsidR="00BB521C"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t>ESG Regulations: Increasing focus on environmental and social governance factors.</w:t>
      </w:r>
    </w:p>
    <w:p w14:paraId="5C1D197E" w14:textId="77777777" w:rsidR="00BB521C"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rPr>
      </w:pPr>
      <w:bookmarkStart w:id="38" w:name="_n8b85ikym8r4" w:colFirst="0" w:colLast="0"/>
      <w:bookmarkEnd w:id="38"/>
      <w:r>
        <w:rPr>
          <w:rFonts w:ascii="Times New Roman" w:eastAsia="Times New Roman" w:hAnsi="Times New Roman" w:cs="Times New Roman"/>
          <w:b/>
          <w:color w:val="0D0D0D"/>
        </w:rPr>
        <w:t>How is the US Banking System Different from Other Countries?</w:t>
      </w:r>
    </w:p>
    <w:p w14:paraId="5C1D197F" w14:textId="77777777" w:rsidR="00BB521C"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39" w:name="_v7odsws1kyqs" w:colFirst="0" w:colLast="0"/>
      <w:bookmarkEnd w:id="39"/>
      <w:r>
        <w:rPr>
          <w:rFonts w:ascii="Times New Roman" w:eastAsia="Times New Roman" w:hAnsi="Times New Roman" w:cs="Times New Roman"/>
          <w:b/>
          <w:color w:val="0D0D0D"/>
        </w:rPr>
        <w:t>Key Differences</w:t>
      </w:r>
    </w:p>
    <w:p w14:paraId="5C1D1980" w14:textId="77777777" w:rsidR="00BB521C"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0D0D0D"/>
          <w:sz w:val="24"/>
          <w:szCs w:val="24"/>
        </w:rPr>
        <w:t>Regulatory Structure: US banking regulation is more fragmented, with multiple federal and state regulators.</w:t>
      </w:r>
    </w:p>
    <w:p w14:paraId="5C1D1981" w14:textId="77777777" w:rsidR="00BB521C"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Market Size: The US has one of the largest and most diverse banking markets globally.</w:t>
      </w:r>
    </w:p>
    <w:p w14:paraId="5C1D1982" w14:textId="77777777" w:rsidR="00BB521C"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rFonts w:ascii="Times New Roman" w:eastAsia="Times New Roman" w:hAnsi="Times New Roman" w:cs="Times New Roman"/>
        </w:rPr>
      </w:pPr>
      <w:r>
        <w:rPr>
          <w:rFonts w:ascii="Times New Roman" w:eastAsia="Times New Roman" w:hAnsi="Times New Roman" w:cs="Times New Roman"/>
          <w:color w:val="0D0D0D"/>
          <w:sz w:val="24"/>
          <w:szCs w:val="24"/>
        </w:rPr>
        <w:t>Innovation: Higher adoption of fintech and digital banking compared to many other countries.</w:t>
      </w:r>
    </w:p>
    <w:p w14:paraId="5C1D1983" w14:textId="77777777" w:rsidR="00BB521C"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eastAsia="Times New Roman" w:hAnsi="Times New Roman" w:cs="Times New Roman"/>
          <w:b/>
          <w:color w:val="0D0D0D"/>
        </w:rPr>
      </w:pPr>
      <w:bookmarkStart w:id="40" w:name="_b57l4ulssvhu" w:colFirst="0" w:colLast="0"/>
      <w:bookmarkEnd w:id="40"/>
      <w:r>
        <w:rPr>
          <w:rFonts w:ascii="Times New Roman" w:eastAsia="Times New Roman" w:hAnsi="Times New Roman" w:cs="Times New Roman"/>
          <w:b/>
          <w:color w:val="0D0D0D"/>
        </w:rPr>
        <w:t>Data Comparison</w:t>
      </w:r>
    </w:p>
    <w:tbl>
      <w:tblPr>
        <w:tblStyle w:val="a3"/>
        <w:tblW w:w="9025" w:type="dxa"/>
        <w:tblBorders>
          <w:top w:val="nil"/>
          <w:left w:val="nil"/>
          <w:bottom w:val="nil"/>
          <w:right w:val="nil"/>
          <w:insideH w:val="nil"/>
          <w:insideV w:val="nil"/>
        </w:tblBorders>
        <w:tblLayout w:type="fixed"/>
        <w:tblLook w:val="0600" w:firstRow="0" w:lastRow="0" w:firstColumn="0" w:lastColumn="0" w:noHBand="1" w:noVBand="1"/>
      </w:tblPr>
      <w:tblGrid>
        <w:gridCol w:w="2460"/>
        <w:gridCol w:w="2888"/>
        <w:gridCol w:w="1650"/>
        <w:gridCol w:w="2027"/>
      </w:tblGrid>
      <w:tr w:rsidR="00BB521C" w14:paraId="5C1D1988" w14:textId="77777777">
        <w:trPr>
          <w:trHeight w:val="710"/>
        </w:trPr>
        <w:tc>
          <w:tcPr>
            <w:tcW w:w="2459" w:type="dxa"/>
            <w:tcBorders>
              <w:top w:val="single" w:sz="5" w:space="0" w:color="0D0D0D"/>
              <w:left w:val="single" w:sz="5" w:space="0" w:color="0D0D0D"/>
              <w:bottom w:val="single" w:sz="5" w:space="0" w:color="0D0D0D"/>
              <w:right w:val="nil"/>
            </w:tcBorders>
            <w:tcMar>
              <w:top w:w="100" w:type="dxa"/>
              <w:left w:w="0" w:type="dxa"/>
              <w:bottom w:w="100" w:type="dxa"/>
              <w:right w:w="100" w:type="dxa"/>
            </w:tcMar>
            <w:vAlign w:val="bottom"/>
          </w:tcPr>
          <w:p w14:paraId="5C1D1984" w14:textId="77777777" w:rsidR="00BB521C" w:rsidRDefault="00000000">
            <w:pPr>
              <w:spacing w:line="411"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Metric</w:t>
            </w:r>
          </w:p>
        </w:tc>
        <w:tc>
          <w:tcPr>
            <w:tcW w:w="2888" w:type="dxa"/>
            <w:tcBorders>
              <w:top w:val="single" w:sz="5" w:space="0" w:color="0D0D0D"/>
              <w:left w:val="single" w:sz="5" w:space="0" w:color="0D0D0D"/>
              <w:bottom w:val="single" w:sz="5" w:space="0" w:color="0D0D0D"/>
              <w:right w:val="nil"/>
            </w:tcBorders>
            <w:tcMar>
              <w:top w:w="100" w:type="dxa"/>
              <w:left w:w="100" w:type="dxa"/>
              <w:bottom w:w="100" w:type="dxa"/>
              <w:right w:w="100" w:type="dxa"/>
            </w:tcMar>
            <w:vAlign w:val="bottom"/>
          </w:tcPr>
          <w:p w14:paraId="5C1D1985" w14:textId="77777777" w:rsidR="00BB521C" w:rsidRDefault="00000000">
            <w:pPr>
              <w:spacing w:line="411"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USA</w:t>
            </w:r>
          </w:p>
        </w:tc>
        <w:tc>
          <w:tcPr>
            <w:tcW w:w="1650" w:type="dxa"/>
            <w:tcBorders>
              <w:top w:val="single" w:sz="5" w:space="0" w:color="0D0D0D"/>
              <w:left w:val="single" w:sz="5" w:space="0" w:color="0D0D0D"/>
              <w:bottom w:val="single" w:sz="5" w:space="0" w:color="0D0D0D"/>
              <w:right w:val="nil"/>
            </w:tcBorders>
            <w:tcMar>
              <w:top w:w="100" w:type="dxa"/>
              <w:left w:w="100" w:type="dxa"/>
              <w:bottom w:w="100" w:type="dxa"/>
              <w:right w:w="100" w:type="dxa"/>
            </w:tcMar>
            <w:vAlign w:val="bottom"/>
          </w:tcPr>
          <w:p w14:paraId="5C1D1986" w14:textId="77777777" w:rsidR="00BB521C" w:rsidRDefault="00000000">
            <w:pPr>
              <w:spacing w:line="411"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Europe</w:t>
            </w:r>
          </w:p>
        </w:tc>
        <w:tc>
          <w:tcPr>
            <w:tcW w:w="2027" w:type="dxa"/>
            <w:tcBorders>
              <w:top w:val="single" w:sz="5" w:space="0" w:color="0D0D0D"/>
              <w:left w:val="single" w:sz="5" w:space="0" w:color="0D0D0D"/>
              <w:bottom w:val="single" w:sz="5" w:space="0" w:color="0D0D0D"/>
              <w:right w:val="single" w:sz="5" w:space="0" w:color="0D0D0D"/>
            </w:tcBorders>
            <w:tcMar>
              <w:top w:w="100" w:type="dxa"/>
              <w:left w:w="100" w:type="dxa"/>
              <w:bottom w:w="100" w:type="dxa"/>
              <w:right w:w="0" w:type="dxa"/>
            </w:tcMar>
            <w:vAlign w:val="bottom"/>
          </w:tcPr>
          <w:p w14:paraId="5C1D1987" w14:textId="77777777" w:rsidR="00BB521C" w:rsidRDefault="00000000">
            <w:pPr>
              <w:spacing w:line="411"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Asia</w:t>
            </w:r>
          </w:p>
        </w:tc>
      </w:tr>
      <w:tr w:rsidR="00BB521C" w14:paraId="5C1D198D" w14:textId="77777777">
        <w:trPr>
          <w:trHeight w:val="695"/>
        </w:trPr>
        <w:tc>
          <w:tcPr>
            <w:tcW w:w="2459"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89"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Total Assets (in trillions)</w:t>
            </w:r>
          </w:p>
        </w:tc>
        <w:tc>
          <w:tcPr>
            <w:tcW w:w="2888"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98A"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$30.0</w:t>
            </w:r>
          </w:p>
        </w:tc>
        <w:tc>
          <w:tcPr>
            <w:tcW w:w="1650"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98B"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$25.0</w:t>
            </w:r>
          </w:p>
        </w:tc>
        <w:tc>
          <w:tcPr>
            <w:tcW w:w="2027"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8C"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$20.0</w:t>
            </w:r>
          </w:p>
        </w:tc>
      </w:tr>
      <w:tr w:rsidR="00BB521C" w14:paraId="5C1D1992" w14:textId="77777777">
        <w:trPr>
          <w:trHeight w:val="695"/>
        </w:trPr>
        <w:tc>
          <w:tcPr>
            <w:tcW w:w="2459"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8E"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Number of Banks</w:t>
            </w:r>
          </w:p>
        </w:tc>
        <w:tc>
          <w:tcPr>
            <w:tcW w:w="2888"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98F"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4,500</w:t>
            </w:r>
          </w:p>
        </w:tc>
        <w:tc>
          <w:tcPr>
            <w:tcW w:w="1650"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990"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6,000</w:t>
            </w:r>
          </w:p>
        </w:tc>
        <w:tc>
          <w:tcPr>
            <w:tcW w:w="2027"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91"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8,000</w:t>
            </w:r>
          </w:p>
        </w:tc>
      </w:tr>
      <w:tr w:rsidR="00BB521C" w14:paraId="5C1D1997" w14:textId="77777777">
        <w:trPr>
          <w:trHeight w:val="695"/>
        </w:trPr>
        <w:tc>
          <w:tcPr>
            <w:tcW w:w="2459"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93"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Fintech Adoption Rate</w:t>
            </w:r>
          </w:p>
        </w:tc>
        <w:tc>
          <w:tcPr>
            <w:tcW w:w="2888"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994"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64%</w:t>
            </w:r>
          </w:p>
        </w:tc>
        <w:tc>
          <w:tcPr>
            <w:tcW w:w="1650"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995"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50%</w:t>
            </w:r>
          </w:p>
        </w:tc>
        <w:tc>
          <w:tcPr>
            <w:tcW w:w="2027"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96"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72%</w:t>
            </w:r>
          </w:p>
        </w:tc>
      </w:tr>
      <w:tr w:rsidR="00BB521C" w14:paraId="5C1D199C" w14:textId="77777777">
        <w:trPr>
          <w:trHeight w:val="695"/>
        </w:trPr>
        <w:tc>
          <w:tcPr>
            <w:tcW w:w="2459" w:type="dxa"/>
            <w:tcBorders>
              <w:top w:val="nil"/>
              <w:left w:val="single" w:sz="5" w:space="0" w:color="0D0D0D"/>
              <w:bottom w:val="single" w:sz="5" w:space="0" w:color="0D0D0D"/>
              <w:right w:val="nil"/>
            </w:tcBorders>
            <w:tcMar>
              <w:top w:w="100" w:type="dxa"/>
              <w:left w:w="0" w:type="dxa"/>
              <w:bottom w:w="100" w:type="dxa"/>
              <w:right w:w="100" w:type="dxa"/>
            </w:tcMar>
            <w:vAlign w:val="center"/>
          </w:tcPr>
          <w:p w14:paraId="5C1D1998"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Regulatory Bodies</w:t>
            </w:r>
          </w:p>
        </w:tc>
        <w:tc>
          <w:tcPr>
            <w:tcW w:w="2888"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999"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Multiple (Fed, OCC, FDIC)</w:t>
            </w:r>
          </w:p>
        </w:tc>
        <w:tc>
          <w:tcPr>
            <w:tcW w:w="1650" w:type="dxa"/>
            <w:tcBorders>
              <w:top w:val="nil"/>
              <w:left w:val="single" w:sz="5" w:space="0" w:color="0D0D0D"/>
              <w:bottom w:val="single" w:sz="5" w:space="0" w:color="0D0D0D"/>
              <w:right w:val="nil"/>
            </w:tcBorders>
            <w:tcMar>
              <w:top w:w="100" w:type="dxa"/>
              <w:left w:w="100" w:type="dxa"/>
              <w:bottom w:w="100" w:type="dxa"/>
              <w:right w:w="100" w:type="dxa"/>
            </w:tcMar>
            <w:vAlign w:val="center"/>
          </w:tcPr>
          <w:p w14:paraId="5C1D199A"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Single (ECB)</w:t>
            </w:r>
          </w:p>
        </w:tc>
        <w:tc>
          <w:tcPr>
            <w:tcW w:w="2027" w:type="dxa"/>
            <w:tcBorders>
              <w:top w:val="nil"/>
              <w:left w:val="single" w:sz="5" w:space="0" w:color="0D0D0D"/>
              <w:bottom w:val="single" w:sz="5" w:space="0" w:color="0D0D0D"/>
              <w:right w:val="single" w:sz="5" w:space="0" w:color="0D0D0D"/>
            </w:tcBorders>
            <w:tcMar>
              <w:top w:w="100" w:type="dxa"/>
              <w:left w:w="100" w:type="dxa"/>
              <w:bottom w:w="100" w:type="dxa"/>
              <w:right w:w="0" w:type="dxa"/>
            </w:tcMar>
            <w:vAlign w:val="center"/>
          </w:tcPr>
          <w:p w14:paraId="5C1D199B" w14:textId="77777777" w:rsidR="00BB521C" w:rsidRDefault="00000000">
            <w:pPr>
              <w:spacing w:line="41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Mixed (PBOC, FSA)</w:t>
            </w:r>
          </w:p>
        </w:tc>
      </w:tr>
    </w:tbl>
    <w:p w14:paraId="5C1D199D" w14:textId="77777777" w:rsidR="00BB521C" w:rsidRDefault="00BB521C">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Times New Roman" w:eastAsia="Times New Roman" w:hAnsi="Times New Roman" w:cs="Times New Roman"/>
          <w:color w:val="0D0D0D"/>
          <w:sz w:val="24"/>
          <w:szCs w:val="24"/>
        </w:rPr>
      </w:pPr>
    </w:p>
    <w:p w14:paraId="5C1D199E" w14:textId="77777777" w:rsidR="00BB521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US banking system is a dynamic and integral part of the economy, characterised by a diverse range of institutions and a complex regulatory framework. It faces both opportunities and challenges in the face of technological advancements and evolving regulatory landscapes. Ongoing analysis and adaptation are crucial to maintaining its robustness and resilience.</w:t>
      </w:r>
    </w:p>
    <w:p w14:paraId="5C1D199F" w14:textId="77777777" w:rsidR="00BB521C" w:rsidRDefault="00BB521C">
      <w:pPr>
        <w:rPr>
          <w:rFonts w:ascii="Times New Roman" w:eastAsia="Times New Roman" w:hAnsi="Times New Roman" w:cs="Times New Roman"/>
          <w:sz w:val="24"/>
          <w:szCs w:val="24"/>
        </w:rPr>
      </w:pPr>
    </w:p>
    <w:sectPr w:rsidR="00BB521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2ABAB319-90EA-466D-82CB-77DAEEA15FB1}"/>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78C7C87-99FF-4DDC-8DE6-17F359BB13AA}"/>
  </w:font>
  <w:font w:name="Cambria">
    <w:panose1 w:val="02040503050406030204"/>
    <w:charset w:val="00"/>
    <w:family w:val="roman"/>
    <w:pitch w:val="variable"/>
    <w:sig w:usb0="E00006FF" w:usb1="420024FF" w:usb2="02000000" w:usb3="00000000" w:csb0="0000019F" w:csb1="00000000"/>
    <w:embedRegular r:id="rId3" w:fontKey="{6BDFD96E-EDC6-474A-86EC-97F53B79476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5DAD"/>
    <w:multiLevelType w:val="multilevel"/>
    <w:tmpl w:val="F0A6AE6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52531C"/>
    <w:multiLevelType w:val="multilevel"/>
    <w:tmpl w:val="54A47A4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B11183"/>
    <w:multiLevelType w:val="multilevel"/>
    <w:tmpl w:val="E30E29D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074597"/>
    <w:multiLevelType w:val="multilevel"/>
    <w:tmpl w:val="CC16F58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6319CF"/>
    <w:multiLevelType w:val="multilevel"/>
    <w:tmpl w:val="B890EDA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14211D"/>
    <w:multiLevelType w:val="multilevel"/>
    <w:tmpl w:val="2ED0433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EE05C7"/>
    <w:multiLevelType w:val="multilevel"/>
    <w:tmpl w:val="C958DD0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111D78"/>
    <w:multiLevelType w:val="multilevel"/>
    <w:tmpl w:val="9B20A93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B72E20"/>
    <w:multiLevelType w:val="multilevel"/>
    <w:tmpl w:val="705CDAE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582597"/>
    <w:multiLevelType w:val="multilevel"/>
    <w:tmpl w:val="8422949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E180F08"/>
    <w:multiLevelType w:val="multilevel"/>
    <w:tmpl w:val="D00E2E8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092031"/>
    <w:multiLevelType w:val="multilevel"/>
    <w:tmpl w:val="56F8C71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4D3C78"/>
    <w:multiLevelType w:val="multilevel"/>
    <w:tmpl w:val="EA3A38F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AB45A05"/>
    <w:multiLevelType w:val="multilevel"/>
    <w:tmpl w:val="985471A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D367A21"/>
    <w:multiLevelType w:val="multilevel"/>
    <w:tmpl w:val="28D6075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727887"/>
    <w:multiLevelType w:val="multilevel"/>
    <w:tmpl w:val="6848186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F013F43"/>
    <w:multiLevelType w:val="multilevel"/>
    <w:tmpl w:val="5DB8F6C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85056614">
    <w:abstractNumId w:val="12"/>
  </w:num>
  <w:num w:numId="2" w16cid:durableId="558054226">
    <w:abstractNumId w:val="13"/>
  </w:num>
  <w:num w:numId="3" w16cid:durableId="728696872">
    <w:abstractNumId w:val="3"/>
  </w:num>
  <w:num w:numId="4" w16cid:durableId="124928636">
    <w:abstractNumId w:val="8"/>
  </w:num>
  <w:num w:numId="5" w16cid:durableId="1820612833">
    <w:abstractNumId w:val="5"/>
  </w:num>
  <w:num w:numId="6" w16cid:durableId="1752699841">
    <w:abstractNumId w:val="7"/>
  </w:num>
  <w:num w:numId="7" w16cid:durableId="492837898">
    <w:abstractNumId w:val="2"/>
  </w:num>
  <w:num w:numId="8" w16cid:durableId="768311239">
    <w:abstractNumId w:val="10"/>
  </w:num>
  <w:num w:numId="9" w16cid:durableId="977418309">
    <w:abstractNumId w:val="15"/>
  </w:num>
  <w:num w:numId="10" w16cid:durableId="1040789140">
    <w:abstractNumId w:val="14"/>
  </w:num>
  <w:num w:numId="11" w16cid:durableId="1096755945">
    <w:abstractNumId w:val="9"/>
  </w:num>
  <w:num w:numId="12" w16cid:durableId="1581136983">
    <w:abstractNumId w:val="0"/>
  </w:num>
  <w:num w:numId="13" w16cid:durableId="942034175">
    <w:abstractNumId w:val="11"/>
  </w:num>
  <w:num w:numId="14" w16cid:durableId="425737790">
    <w:abstractNumId w:val="1"/>
  </w:num>
  <w:num w:numId="15" w16cid:durableId="82843021">
    <w:abstractNumId w:val="16"/>
  </w:num>
  <w:num w:numId="16" w16cid:durableId="1124494971">
    <w:abstractNumId w:val="4"/>
  </w:num>
  <w:num w:numId="17" w16cid:durableId="678491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21C"/>
    <w:rsid w:val="001C636F"/>
    <w:rsid w:val="002A5F61"/>
    <w:rsid w:val="00BB52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D18D0"/>
  <w15:docId w15:val="{B39B5A8F-E187-4629-A741-F6776F015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717</Words>
  <Characters>4091</Characters>
  <Application>Microsoft Office Word</Application>
  <DocSecurity>0</DocSecurity>
  <Lines>34</Lines>
  <Paragraphs>9</Paragraphs>
  <ScaleCrop>false</ScaleCrop>
  <Company/>
  <LinksUpToDate>false</LinksUpToDate>
  <CharactersWithSpaces>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Ashmita Paul</cp:lastModifiedBy>
  <cp:revision>2</cp:revision>
  <dcterms:created xsi:type="dcterms:W3CDTF">2024-06-05T09:48:00Z</dcterms:created>
  <dcterms:modified xsi:type="dcterms:W3CDTF">2024-06-05T09:49:00Z</dcterms:modified>
</cp:coreProperties>
</file>