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Health Allied Insurance - Comprehensive Schedule</w:t>
      </w:r>
    </w:p>
    <w:p>
      <w:r>
        <w:t>Policy Name: Star Health Comprehensive Insurance Policy</w:t>
      </w:r>
    </w:p>
    <w:p>
      <w:r>
        <w:t>Policy Number: STAR-COMP-2026-443210</w:t>
      </w:r>
    </w:p>
    <w:p>
      <w:r>
        <w:t>Pre-Existing Condition Waiting Period: 36 months from initial policy inception.</w:t>
      </w:r>
    </w:p>
    <w:p>
      <w:r>
        <w:t>Room Rent Category: Single standard AC room with no capping.</w:t>
      </w:r>
    </w:p>
    <w:p>
      <w:r>
        <w:t>Maternity Benefit: Normal delivery covered up to INR 25,000 and Caesarean up to INR 40,000 after 24 months continuous coverage.</w:t>
      </w:r>
    </w:p>
    <w:p>
      <w:r>
        <w:t>Newborn Baby Cover: Covered up to INR 1,00,000 from Day 1 subject to valid maternity claim.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Benefit Description</w:t>
            </w:r>
          </w:p>
        </w:tc>
        <w:tc>
          <w:tcPr>
            <w:tcW w:type="dxa" w:w="2880"/>
          </w:tcPr>
          <w:p>
            <w:r>
              <w:t>Limit / Sub-limit</w:t>
            </w:r>
          </w:p>
        </w:tc>
        <w:tc>
          <w:tcPr>
            <w:tcW w:type="dxa" w:w="2880"/>
          </w:tcPr>
          <w:p>
            <w:r>
              <w:t>Waiting Period</w:t>
            </w:r>
          </w:p>
        </w:tc>
      </w:tr>
      <w:tr>
        <w:tc>
          <w:tcPr>
            <w:tcW w:type="dxa" w:w="2880"/>
          </w:tcPr>
          <w:p>
            <w:r>
              <w:t>Pre-Existing Diseases</w:t>
            </w:r>
          </w:p>
        </w:tc>
        <w:tc>
          <w:tcPr>
            <w:tcW w:type="dxa" w:w="2880"/>
          </w:tcPr>
          <w:p>
            <w:r>
              <w:t>Full Sum Insured</w:t>
            </w:r>
          </w:p>
        </w:tc>
        <w:tc>
          <w:tcPr>
            <w:tcW w:type="dxa" w:w="2880"/>
          </w:tcPr>
          <w:p>
            <w:r>
              <w:t>36 Months</w:t>
            </w:r>
          </w:p>
        </w:tc>
      </w:tr>
      <w:tr>
        <w:tc>
          <w:tcPr>
            <w:tcW w:type="dxa" w:w="2880"/>
          </w:tcPr>
          <w:p>
            <w:r>
              <w:t>Cataract Surgery</w:t>
            </w:r>
          </w:p>
        </w:tc>
        <w:tc>
          <w:tcPr>
            <w:tcW w:type="dxa" w:w="2880"/>
          </w:tcPr>
          <w:p>
            <w:r>
              <w:t>INR 30,000 per eye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Maternity (Normal)</w:t>
            </w:r>
          </w:p>
        </w:tc>
        <w:tc>
          <w:tcPr>
            <w:tcW w:type="dxa" w:w="2880"/>
          </w:tcPr>
          <w:p>
            <w:r>
              <w:t>INR 25,000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Maternity (Caesarean)</w:t>
            </w:r>
          </w:p>
        </w:tc>
        <w:tc>
          <w:tcPr>
            <w:tcW w:type="dxa" w:w="2880"/>
          </w:tcPr>
          <w:p>
            <w:r>
              <w:t>INR 40,000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Health Checkup</w:t>
            </w:r>
          </w:p>
        </w:tc>
        <w:tc>
          <w:tcPr>
            <w:tcW w:type="dxa" w:w="2880"/>
          </w:tcPr>
          <w:p>
            <w:r>
              <w:t>INR 2,500 per year</w:t>
            </w:r>
          </w:p>
        </w:tc>
        <w:tc>
          <w:tcPr>
            <w:tcW w:type="dxa" w:w="2880"/>
          </w:tcPr>
          <w:p>
            <w:r>
              <w:t>1 Year Claim-free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