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2"/>
          <w:szCs w:val="52"/>
        </w:rPr>
        <w:t xml:space="preserve">EGARCH vs. CoTAR/TAR</w:t>
      </w:r>
    </w:p>
    <w:p>
      <w:pPr>
        <w:spacing w:after="120" w:before="0"/>
        <w:jc w:val="center"/>
      </w:pPr>
      <w:r>
        <w:rPr>
          <w:rFonts w:ascii="Arial" w:cs="Arial" w:eastAsia="Arial" w:hAnsi="Arial"/>
          <w:color w:val="2E75B6"/>
          <w:sz w:val="32"/>
          <w:szCs w:val="32"/>
        </w:rPr>
        <w:t xml:space="preserve">Geopolitical Risk and Commodity Futures Volatility</w:t>
      </w:r>
    </w:p>
    <w:p>
      <w:pPr>
        <w:spacing w:after="60" w:before="60"/>
        <w:jc w:val="center"/>
      </w:pPr>
      <w:r>
        <w:rPr>
          <w:rFonts w:ascii="Arial" w:cs="Arial" w:eastAsia="Arial" w:hAnsi="Arial"/>
          <w:i/>
          <w:iCs/>
          <w:color w:val="595959"/>
          <w:sz w:val="24"/>
          <w:szCs w:val="24"/>
        </w:rPr>
        <w:t xml:space="preserve">18 Commodity Markets · Three GPR Variants · Monthly Log-RV Analysis (2000–2026)</w:t>
      </w:r>
    </w:p>
    <w:p>
      <w:pPr>
        <w:spacing w:after="120" w:before="480"/>
        <w:jc w:val="center"/>
      </w:pPr>
      <w:r>
        <w:rPr>
          <w:rFonts w:ascii="Arial" w:cs="Arial" w:eastAsia="Arial" w:hAnsi="Arial"/>
          <w:b/>
          <w:bCs/>
          <w:color w:val="C00000"/>
          <w:sz w:val="28"/>
          <w:szCs w:val="28"/>
        </w:rPr>
        <w:t xml:space="preserve">Section A: EGARCH Framework Analysis</w:t>
      </w:r>
    </w:p>
    <w:p>
      <w:pPr>
        <w:spacing w:after="60" w:before="60"/>
        <w:jc w:val="center"/>
      </w:pPr>
      <w:r>
        <w:rPr>
          <w:rFonts w:ascii="Arial" w:cs="Arial" w:eastAsia="Arial" w:hAnsi="Arial"/>
          <w:i/>
          <w:iCs/>
          <w:color w:val="595959"/>
          <w:sz w:val="24"/>
          <w:szCs w:val="24"/>
        </w:rPr>
        <w:t xml:space="preserve">Özdemir et al. (2025) — Conditional Variance, Leverage Effects, and GPR</w:t>
      </w:r>
    </w:p>
    <w:p>
      <w:pPr>
        <w:spacing w:after="120" w:before="240"/>
        <w:jc w:val="center"/>
      </w:pPr>
      <w:r>
        <w:rPr>
          <w:rFonts w:ascii="Arial" w:cs="Arial" w:eastAsia="Arial" w:hAnsi="Arial"/>
          <w:b/>
          <w:bCs/>
          <w:color w:val="375623"/>
          <w:sz w:val="28"/>
          <w:szCs w:val="28"/>
        </w:rPr>
        <w:t xml:space="preserve">Section B: CoTAR/TAR Framework Analysis</w:t>
      </w:r>
    </w:p>
    <w:p>
      <w:pPr>
        <w:spacing w:after="60" w:before="60"/>
        <w:jc w:val="center"/>
      </w:pPr>
      <w:r>
        <w:rPr>
          <w:rFonts w:ascii="Arial" w:cs="Arial" w:eastAsia="Arial" w:hAnsi="Arial"/>
          <w:i/>
          <w:iCs/>
          <w:color w:val="595959"/>
          <w:sz w:val="24"/>
          <w:szCs w:val="24"/>
        </w:rPr>
        <w:t xml:space="preserve">Motegi &amp; Hamori (2025) — Adaptive Threshold Autoregression and GPR Regime Dynamics</w:t>
      </w:r>
    </w:p>
    <w:p>
      <w:pPr>
        <w:spacing w:after="120" w:before="480"/>
        <w:jc w:val="center"/>
      </w:pPr>
      <w:r>
        <w:rPr>
          <w:rFonts w:ascii="Arial" w:cs="Arial" w:eastAsia="Arial" w:hAnsi="Arial"/>
          <w:color w:val="595959"/>
          <w:sz w:val="22"/>
          <w:szCs w:val="22"/>
        </w:rPr>
        <w:t xml:space="preserve">Sample: January 2000 – March 2026 (N = 244–314 monthly observations per series)</w:t>
      </w:r>
    </w:p>
    <w:p>
      <w:pPr>
        <w:spacing w:after="0" w:before="0"/>
      </w:pPr>
      <w:r>
        <w:br w:type="page"/>
      </w:r>
    </w:p>
    <w:p>
      <w:pPr>
        <w:pStyle w:val="Heading1"/>
        <w:spacing w:after="180" w:before="360"/>
      </w:pPr>
      <w:r>
        <w:rPr>
          <w:rFonts w:ascii="Arial" w:cs="Arial" w:eastAsia="Arial" w:hAnsi="Arial"/>
          <w:b/>
          <w:bCs/>
          <w:color w:val="1F3864"/>
          <w:sz w:val="32"/>
          <w:szCs w:val="32"/>
        </w:rPr>
        <w:t xml:space="preserve">1. Introduction and Research Context</w:t>
      </w:r>
    </w:p>
    <w:p>
      <w:pPr>
        <w:spacing w:after="60" w:before="60"/>
        <w:jc w:val="both"/>
      </w:pPr>
      <w:r>
        <w:rPr>
          <w:rFonts w:ascii="Arial" w:cs="Arial" w:eastAsia="Arial" w:hAnsi="Arial"/>
          <w:sz w:val="22"/>
          <w:szCs w:val="22"/>
        </w:rPr>
        <w:t xml:space="preserve">This report provides a rigorous, stand-alone comparative analysis of two complementary frameworks for studying how geopolitical risk (GPR) transmits to commodity market volatility. Rather than merging the two analyses into a combined narrative, this report presents them as separate, self-contained sections: Section A covers the Exponential Generalized Autoregressive Conditional Heteroskedasticity (EGARCH) framework of Özdemir, Vurur, Ozen, Swiecka, and Grima (2025), and Section B covers the Conditional Threshold Autoregression (CoTAR/TAR) framework extending Motegi and Hamori (2025). Both sections address all 18 commodity futures markets, with the CoTAR/TAR analysis now updated to cover the full data horizon through March 2026 across all commodities — not only the energy group.</w:t>
      </w:r>
    </w:p>
    <w:p>
      <w:pPr>
        <w:spacing w:after="60" w:before="60"/>
        <w:jc w:val="both"/>
      </w:pPr>
      <w:r>
        <w:rPr>
          <w:rFonts w:ascii="Arial" w:cs="Arial" w:eastAsia="Arial" w:hAnsi="Arial"/>
          <w:sz w:val="22"/>
          <w:szCs w:val="22"/>
        </w:rPr>
        <w:t xml:space="preserve">Both frameworks deploy the tri-partite GPR decomposition of Caldara and Iacoviello (2022): the composite GPR index, the geopolitical threats sub-index (GPRTHREAT), and the geopolitical actions sub-index (GPRACT). The 26-year sample spans the 2003 Iraq War, the 2008 Global Financial Crisis, the 2011 Arab Spring, the 2014 Crimea annexation, the 2018–2019 US–China trade war, the COVID-19 pandemic, the 2022 Russia–Ukraine war, and the elevated geopolitical tensions of 2025–2026.</w:t>
      </w:r>
    </w:p>
    <w:p>
      <w:pPr>
        <w:pStyle w:val="Heading2"/>
        <w:spacing w:after="120" w:before="240"/>
      </w:pPr>
      <w:r>
        <w:rPr>
          <w:rFonts w:ascii="Arial" w:cs="Arial" w:eastAsia="Arial" w:hAnsi="Arial"/>
          <w:b/>
          <w:bCs/>
          <w:color w:val="2E75B6"/>
          <w:sz w:val="26"/>
          <w:szCs w:val="26"/>
        </w:rPr>
        <w:t xml:space="preserve">1.1 The Central Research Questions</w:t>
      </w:r>
    </w:p>
    <w:p>
      <w:pPr>
        <w:spacing w:after="60" w:before="60"/>
        <w:jc w:val="both"/>
      </w:pPr>
      <w:r>
        <w:rPr>
          <w:rFonts w:ascii="Arial" w:cs="Arial" w:eastAsia="Arial" w:hAnsi="Arial"/>
          <w:sz w:val="22"/>
          <w:szCs w:val="22"/>
        </w:rPr>
        <w:t xml:space="preserve">The two frameworks answer structurally different questions and are therefore not competitors but complements:</w:t>
      </w:r>
    </w:p>
    <w:p>
      <w:pPr>
        <w:spacing w:after="60" w:before="60"/>
        <w:jc w:val="both"/>
      </w:pPr>
      <w:r>
        <w:rPr>
          <w:rFonts w:ascii="Arial" w:cs="Arial" w:eastAsia="Arial" w:hAnsi="Arial"/>
          <w:sz w:val="22"/>
          <w:szCs w:val="22"/>
        </w:rPr>
        <w:t xml:space="preserve">Section A (EGARCH) asks: Does GPR shift the level or persistence of volatility shocks in the conditional variance process? It captures the leverage effect — the empirical regularity that negative shocks amplify volatility more than positive shocks of equal magnitude — via the asymmetry parameter γ, and measures GPR's marginal influence through the δ coefficient.</w:t>
      </w:r>
    </w:p>
    <w:p>
      <w:pPr>
        <w:spacing w:after="60" w:before="60"/>
        <w:jc w:val="both"/>
      </w:pPr>
      <w:r>
        <w:rPr>
          <w:rFonts w:ascii="Arial" w:cs="Arial" w:eastAsia="Arial" w:hAnsi="Arial"/>
          <w:sz w:val="22"/>
          <w:szCs w:val="22"/>
        </w:rPr>
        <w:t xml:space="preserve">Section B (CoTAR/TAR) asks: Does the level of GPR relative to recent experience determine which autoregressive regime commodity volatility belongs to? Its adaptive regime-switching allows the AR dynamics to differ discretely across low-GPR and high-GPR states, with the regime boundary itself evolving through time via a rolling 12-month quantile.</w:t>
      </w:r>
    </w:p>
    <w:p>
      <w:pPr>
        <w:spacing w:after="60" w:before="60"/>
        <w:jc w:val="both"/>
      </w:pPr>
      <w:r>
        <w:rPr>
          <w:rFonts w:ascii="Arial" w:cs="Arial" w:eastAsia="Arial" w:hAnsi="Arial"/>
          <w:sz w:val="22"/>
          <w:szCs w:val="22"/>
        </w:rPr>
        <w:t xml:space="preserve">A commodity showing significance under both frameworks — such as WTI Oil under GPRACT — is one where GPR not only affects volatility level but also reshapes the entire autoregressive structure. Neither framework alone is sufficient for a complete picture of geopolitical risk transmission.</w:t>
      </w:r>
    </w:p>
    <w:p>
      <w:pPr>
        <w:spacing w:after="20" w:before="20"/>
      </w:pPr>
      <w:r>
        <w:t xml:space="preserve"/>
      </w:r>
    </w:p>
    <w:p>
      <w:pPr>
        <w:pStyle w:val="Heading2"/>
        <w:spacing w:after="120" w:before="240"/>
      </w:pPr>
      <w:r>
        <w:rPr>
          <w:rFonts w:ascii="Arial" w:cs="Arial" w:eastAsia="Arial" w:hAnsi="Arial"/>
          <w:b/>
          <w:bCs/>
          <w:color w:val="2E75B6"/>
          <w:sz w:val="26"/>
          <w:szCs w:val="26"/>
        </w:rPr>
        <w:t xml:space="preserve">1.2 Coverage and Data Updates</w:t>
      </w:r>
    </w:p>
    <w:p>
      <w:pPr>
        <w:spacing w:after="60" w:before="60"/>
        <w:jc w:val="both"/>
      </w:pPr>
      <w:r>
        <w:rPr>
          <w:rFonts w:ascii="Arial" w:cs="Arial" w:eastAsia="Arial" w:hAnsi="Arial"/>
          <w:sz w:val="22"/>
          <w:szCs w:val="22"/>
        </w:rPr>
        <w:t xml:space="preserve">The CoTAR/TAR analysis in Section B now includes fully updated data for all 18 commodities through March 2026 (N = 314 monthly observations for most series; N = 244 for RBOB Gasoline commencing January 2006; N = 291 for Cotton; N = 310–313 for others). This is a significant extension from the original report, which updated only the energy commodities. All 54 commodity-GPR combinations (18 × 3 variants) are evaluated on the extended sample, and all figures and tables in Section B reflect these updated results.</w:t>
      </w:r>
    </w:p>
    <w:p>
      <w:pPr>
        <w:spacing w:after="0" w:before="0"/>
      </w:pPr>
      <w:r>
        <w:br w:type="page"/>
      </w:r>
    </w:p>
    <w:p>
      <w:pPr>
        <w:pStyle w:val="Heading1"/>
        <w:spacing w:after="180" w:before="360"/>
      </w:pPr>
      <w:r>
        <w:rPr>
          <w:rFonts w:ascii="Arial" w:cs="Arial" w:eastAsia="Arial" w:hAnsi="Arial"/>
          <w:b/>
          <w:bCs/>
          <w:color w:val="1F3864"/>
          <w:sz w:val="32"/>
          <w:szCs w:val="32"/>
        </w:rPr>
        <w:t xml:space="preserve">2. Data and Descriptive Statistics</w:t>
      </w:r>
    </w:p>
    <w:p>
      <w:pPr>
        <w:pStyle w:val="Heading2"/>
        <w:spacing w:after="120" w:before="240"/>
      </w:pPr>
      <w:r>
        <w:rPr>
          <w:rFonts w:ascii="Arial" w:cs="Arial" w:eastAsia="Arial" w:hAnsi="Arial"/>
          <w:b/>
          <w:bCs/>
          <w:color w:val="2E75B6"/>
          <w:sz w:val="26"/>
          <w:szCs w:val="26"/>
        </w:rPr>
        <w:t xml:space="preserve">2.1 Commodity Coverage</w:t>
      </w:r>
    </w:p>
    <w:p>
      <w:pPr>
        <w:spacing w:after="60" w:before="60"/>
        <w:jc w:val="both"/>
      </w:pPr>
      <w:r>
        <w:rPr>
          <w:rFonts w:ascii="Arial" w:cs="Arial" w:eastAsia="Arial" w:hAnsi="Arial"/>
          <w:sz w:val="22"/>
          <w:szCs w:val="22"/>
        </w:rPr>
        <w:t xml:space="preserve">The analysis covers 18 commodity futures markets across four groups: Precious Metals (Gold, Silver, Platinum); Agricultural Commodities (Wheat, Sweetcorn/Corn, Soybean, Cotton, Cocoa, Coffee); Industrial Metals (Copper, Zinc, Nickel, Lead); and Energy (WTI Crude Oil [CL1], Brent Crude Oil [CO1], Natural Gas [NG1], RBOB Gasoline [XB1], Heating Oil [HO1]).</w:t>
      </w:r>
    </w:p>
    <w:p>
      <w:pPr>
        <w:spacing w:after="60" w:before="60"/>
        <w:jc w:val="both"/>
      </w:pPr>
      <w:r>
        <w:rPr>
          <w:rFonts w:ascii="Arial" w:cs="Arial" w:eastAsia="Arial" w:hAnsi="Arial"/>
          <w:sz w:val="22"/>
          <w:szCs w:val="22"/>
        </w:rPr>
        <w:t xml:space="preserve">The EGARCH analysis uses daily closing prices from January 2010 to June 2023, covering the 16 core commodities from Özdemir et al. (2025) plus extended estimates for RBOB Gasoline and Heating Oil. The CoTAR/TAR analysis uses monthly log-realized variances from January 2000 to March 2026, with log-RV computed as log(rₜ²) where rₜ = log(Pₜ/Pₜ₋₁) is the monthly log-return.</w:t>
      </w:r>
    </w:p>
    <w:p>
      <w:pPr>
        <w:pStyle w:val="Heading2"/>
        <w:spacing w:after="120" w:before="240"/>
      </w:pPr>
      <w:r>
        <w:rPr>
          <w:rFonts w:ascii="Arial" w:cs="Arial" w:eastAsia="Arial" w:hAnsi="Arial"/>
          <w:b/>
          <w:bCs/>
          <w:color w:val="2E75B6"/>
          <w:sz w:val="26"/>
          <w:szCs w:val="26"/>
        </w:rPr>
        <w:t xml:space="preserve">2.2 GPR Indices</w:t>
      </w:r>
    </w:p>
    <w:p>
      <w:pPr>
        <w:spacing w:after="60" w:before="60"/>
        <w:jc w:val="both"/>
      </w:pPr>
      <w:r>
        <w:rPr>
          <w:rFonts w:ascii="Arial" w:cs="Arial" w:eastAsia="Arial" w:hAnsi="Arial"/>
          <w:sz w:val="22"/>
          <w:szCs w:val="22"/>
        </w:rPr>
        <w:t xml:space="preserve">The Geopolitical Risk Index (GPR) of Caldara and Iacoviello (2022) counts newspaper articles mentioning wars, terrorism, and international tensions. Over the 2000–2026 sample (N = 314 monthly observations), log(GPR) averages 4.620 with standard deviation 0.354. The sub-index log(GPRTHREAT) averages 4.629 (SD = 0.354), while log(GPRACT) averages 4.570 (SD = 0.489) — GPRACT is notably more volatile, reflecting episodic conflict-action spikes including the 2003 Iraq War, 2011 Arab Spring, 2019 Iran sanctions, 2022 Russia–Ukraine escalation, and the 2025–2026 elevated tension period.</w:t>
      </w:r>
    </w:p>
    <w:p>
      <w:pPr>
        <w:pStyle w:val="Heading2"/>
        <w:spacing w:after="120" w:before="240"/>
      </w:pPr>
      <w:r>
        <w:rPr>
          <w:rFonts w:ascii="Arial" w:cs="Arial" w:eastAsia="Arial" w:hAnsi="Arial"/>
          <w:b/>
          <w:bCs/>
          <w:color w:val="2E75B6"/>
          <w:sz w:val="26"/>
          <w:szCs w:val="26"/>
        </w:rPr>
        <w:t xml:space="preserve">2.3 Summary Statistics — All 18 Commodities</w:t>
      </w:r>
    </w:p>
    <w:p>
      <w:pPr>
        <w:spacing w:after="60" w:before="60"/>
        <w:jc w:val="both"/>
      </w:pPr>
      <w:r>
        <w:rPr>
          <w:rFonts w:ascii="Arial" w:cs="Arial" w:eastAsia="Arial" w:hAnsi="Arial"/>
          <w:sz w:val="22"/>
          <w:szCs w:val="22"/>
        </w:rPr>
        <w:t xml:space="preserve">Table 2.1 reports summary statistics for monthly log-RV (RV±) across all 18 commodities. All series are stationary at the 1% level under the augmented Dickey–Fuller test. Energy commodities exhibit the highest mean log-RV values (most positive/least negative), reflecting the greater absolute magnitude of energy price swings. Platinum has the highest kurtosis (7.167), consistent with extreme tail events driven by supply disruptions in South African mining zones and the 2022 LME disruptions. Cotton exhibits the lowest kurtosis (2.324) and near-zero skewness, reflecting relatively symmetric demand-side price dynamics.</w:t>
      </w:r>
    </w:p>
    <w:p>
      <w:pPr>
        <w:spacing w:after="20" w:before="20"/>
      </w:pPr>
      <w:r>
        <w:t xml:space="preserve"/>
      </w:r>
    </w:p>
    <w:p>
      <w:pPr>
        <w:spacing w:after="60" w:before="60"/>
      </w:pPr>
      <w:r>
        <w:rPr>
          <w:rFonts w:ascii="Arial" w:cs="Arial" w:eastAsia="Arial" w:hAnsi="Arial"/>
          <w:b/>
          <w:bCs/>
          <w:sz w:val="20"/>
          <w:szCs w:val="20"/>
        </w:rPr>
        <w:t xml:space="preserve">Table 2.1: Summary Statistics of Monthly Log-Realized Variances (RV±), All 18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
        <w:gridCol w:w="700"/>
        <w:gridCol w:w="700"/>
        <w:gridCol w:w="700"/>
        <w:gridCol w:w="700"/>
        <w:gridCol w:w="700"/>
        <w:gridCol w:w="8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Commodity</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Mean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Median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Std Dev</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Skewness</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Kurtosis</w:t>
            </w:r>
          </w:p>
        </w:tc>
        <w:tc>
          <w:tcPr>
            <w:tcW w:type="dxa" w:w="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Group</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Gold</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Prec. Metals</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-7.301</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-6.946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2.025</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-1.114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5.007</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Silver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Prec. Metals</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-6.281</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-5.881</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2.276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-1.172</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4.751</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Platinum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Prec. Metals</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-6.752</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-6.315</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2.278</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-1.532</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7.167</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Wheat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Agricultural</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-6.187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-5.753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2.025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-0.961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4.231</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Sweetcorn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Agricultural</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-6.453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-6.165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2.188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-0.858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3.919</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Soybean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Agricultural</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-6.615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-6.235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2.211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-1.228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5.585</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Cotton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Agricultural</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291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-5.898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-5.685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1.671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-0.175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2.324</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Cocoa</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Agricultural</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-5.918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-5.503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2.141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-1.172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5.270</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Coffee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Agricultural</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-6.319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-5.759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2.399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-1.063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4.015</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Copper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Ind. Metals</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-6.672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-6.256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2.159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-0.986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4.003</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Zinc</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Ind. Metals</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-6.331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-6.069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1.864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-0.664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3.195</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Nickel</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Ind. Metals</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-6.011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-5.462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2.246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-1.127</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4.285</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Lead</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Ind. Metals</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-6.466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-6.186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2.068</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4.968</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Energy</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-5.890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-5.506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2.025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-1.014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4.616</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Energy</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-6.053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-5.657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2.073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-0.992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4.173</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Natural Gas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Energy</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-5.169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-4.945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2.246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-0.907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4.016</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Energy</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-5.858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-5.525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2.221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-1.002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4.974</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Energy</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-6.149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-5.724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2.314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-1.440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6.262</w:t>
            </w:r>
          </w:p>
        </w:tc>
      </w:tr>
    </w:tbl>
    <w:p>
      <w:pPr>
        <w:spacing w:after="120" w:before="40"/>
        <w:jc w:val="center"/>
      </w:pPr>
      <w:r>
        <w:rPr>
          <w:rFonts w:ascii="Arial" w:cs="Arial" w:eastAsia="Arial" w:hAnsi="Arial"/>
          <w:i/>
          <w:iCs/>
          <w:color w:val="595959"/>
          <w:sz w:val="18"/>
          <w:szCs w:val="18"/>
        </w:rPr>
        <w:t xml:space="preserve">Sample: January 2000 – March 2026 (N = 244–314). All series stationary at 1% ADF level. RV± = log(rₜ²); rₜ = log(Pₜ/Pₜ₋₁). PM = Precious Metals; Ag = Agricultural; IM = Industrial Metals; En = Energy. Source: Updated CoTAR analysis output.</w:t>
      </w:r>
    </w:p>
    <w:p>
      <w:pPr>
        <w:spacing w:after="0" w:before="0"/>
      </w:pPr>
      <w:r>
        <w:br w:type="page"/>
      </w:r>
    </w:p>
    <w:p>
      <w:pPr>
        <w:spacing w:after="120" w:before="240"/>
        <w:jc w:val="center"/>
      </w:pPr>
      <w:r>
        <w:rPr>
          <w:rFonts w:ascii="Arial" w:cs="Arial" w:eastAsia="Arial" w:hAnsi="Arial"/>
          <w:color w:val="C00000"/>
          <w:sz w:val="22"/>
          <w:szCs w:val="22"/>
        </w:rPr>
        <w:t xml:space="preserve">━━━━━━━━━━━━━━━━━━━━━━━━━━━━━━━━━━━━━━━━━━━━━━━━━━━━━━━</w:t>
      </w:r>
    </w:p>
    <w:p>
      <w:pPr>
        <w:spacing w:after="60" w:before="60"/>
        <w:jc w:val="center"/>
      </w:pPr>
      <w:r>
        <w:rPr>
          <w:rFonts w:ascii="Arial" w:cs="Arial" w:eastAsia="Arial" w:hAnsi="Arial"/>
          <w:b/>
          <w:bCs/>
          <w:color w:val="C00000"/>
          <w:sz w:val="36"/>
          <w:szCs w:val="36"/>
        </w:rPr>
        <w:t xml:space="preserve">SECTION A: EGARCH FRAMEWORK ANALYSIS</w:t>
      </w:r>
    </w:p>
    <w:p>
      <w:pPr>
        <w:spacing w:after="60" w:before="60"/>
        <w:jc w:val="center"/>
      </w:pPr>
      <w:r>
        <w:rPr>
          <w:rFonts w:ascii="Arial" w:cs="Arial" w:eastAsia="Arial" w:hAnsi="Arial"/>
          <w:i/>
          <w:iCs/>
          <w:color w:val="C00000"/>
          <w:sz w:val="24"/>
          <w:szCs w:val="24"/>
        </w:rPr>
        <w:t xml:space="preserve">Conditional Variance, Leverage Effects, and Geopolitical Risk</w:t>
      </w:r>
    </w:p>
    <w:p>
      <w:pPr>
        <w:spacing w:after="240" w:before="0"/>
        <w:jc w:val="center"/>
      </w:pPr>
      <w:r>
        <w:rPr>
          <w:rFonts w:ascii="Arial" w:cs="Arial" w:eastAsia="Arial" w:hAnsi="Arial"/>
          <w:color w:val="C00000"/>
          <w:sz w:val="22"/>
          <w:szCs w:val="22"/>
        </w:rPr>
        <w:t xml:space="preserve">━━━━━━━━━━━━━━━━━━━━━━━━━━━━━━━━━━━━━━━━━━━━━━━━━━━━━━━</w:t>
      </w:r>
    </w:p>
    <w:p>
      <w:pPr>
        <w:pStyle w:val="Heading1"/>
        <w:spacing w:after="180" w:before="360"/>
      </w:pPr>
      <w:r>
        <w:rPr>
          <w:rFonts w:ascii="Arial" w:cs="Arial" w:eastAsia="Arial" w:hAnsi="Arial"/>
          <w:b/>
          <w:bCs/>
          <w:color w:val="1F3864"/>
          <w:sz w:val="32"/>
          <w:szCs w:val="32"/>
        </w:rPr>
        <w:t xml:space="preserve">A.1 EGARCH Methodological Framework</w:t>
      </w:r>
    </w:p>
    <w:p>
      <w:pPr>
        <w:spacing w:after="60" w:before="60"/>
        <w:jc w:val="both"/>
      </w:pPr>
      <w:r>
        <w:rPr>
          <w:rFonts w:ascii="Arial" w:cs="Arial" w:eastAsia="Arial" w:hAnsi="Arial"/>
          <w:sz w:val="22"/>
          <w:szCs w:val="22"/>
        </w:rPr>
        <w:t xml:space="preserve">The EGARCH model of Nelson (1991), as applied by Özdemir et al. (2025) to commodity futures, specifies the log conditional variance as an exponential function of past standardised residuals and its own lags:</w:t>
      </w:r>
    </w:p>
    <w:p>
      <w:pPr>
        <w:spacing w:after="120" w:before="120"/>
        <w:jc w:val="center"/>
      </w:pPr>
      <w:r>
        <w:rPr>
          <w:rFonts w:ascii="Courier New" w:cs="Courier New" w:eastAsia="Courier New" w:hAnsi="Courier New"/>
          <w:sz w:val="22"/>
          <w:szCs w:val="22"/>
        </w:rPr>
        <w:t xml:space="preserve">log(hₜ) = ω + Σⱼ βⱼ·log(hₜ₋ⱼ) + Σᵢ αᵢ·|uₜ₋ᵢ / √hₜ₋ᵢ| + Σᵢ γᵢ·(uₜ₋ᵢ / √hₜ₋ᵢ) + δ·GPRₜ</w:t>
      </w:r>
    </w:p>
    <w:p>
      <w:pPr>
        <w:spacing w:after="60" w:before="60"/>
        <w:jc w:val="both"/>
      </w:pPr>
      <w:r>
        <w:rPr>
          <w:rFonts w:ascii="Arial" w:cs="Arial" w:eastAsia="Arial" w:hAnsi="Arial"/>
          <w:sz w:val="22"/>
          <w:szCs w:val="22"/>
        </w:rPr>
        <w:t xml:space="preserve">The leverage term γ is the model's key innovation: when γ &lt; 0 and statistically significant, a negative standardised residual of a given magnitude creates more conditional variance than an equally-sized positive shock. The β parameter governs persistence: when Σβ ≈ 1, volatility shocks are highly persistent and the half-life (HL = ln(0.5)/ln(Σβ)) becomes very long. The coefficient δ measures GPR's direct marginal effect on log conditional variance — a positive δ means elevated GPR raises volatility; a negative δ implies a stabilising safe-haven or uncertainty-resolution effect. Three separate EGARCH specifications are estimated, each with one GPR variant as an external regressor, across daily data for all 18 commodities in four groups.</w:t>
      </w:r>
    </w:p>
    <w:p>
      <w:pPr>
        <w:pStyle w:val="Heading1"/>
        <w:spacing w:after="180" w:before="360"/>
      </w:pPr>
      <w:r>
        <w:rPr>
          <w:rFonts w:ascii="Arial" w:cs="Arial" w:eastAsia="Arial" w:hAnsi="Arial"/>
          <w:b/>
          <w:bCs/>
          <w:color w:val="1F3864"/>
          <w:sz w:val="32"/>
          <w:szCs w:val="32"/>
        </w:rPr>
        <w:t xml:space="preserve">A.2 Leverage Effect Across Commodity Groups</w:t>
      </w:r>
    </w:p>
    <w:p>
      <w:pPr>
        <w:spacing w:after="60" w:before="60"/>
        <w:jc w:val="both"/>
      </w:pPr>
      <w:r>
        <w:rPr>
          <w:rFonts w:ascii="Arial" w:cs="Arial" w:eastAsia="Arial" w:hAnsi="Arial"/>
          <w:sz w:val="22"/>
          <w:szCs w:val="22"/>
        </w:rPr>
        <w:t xml:space="preserve">A negative and significant γ — confirming the leverage effect — is found in the majority of commodity markets. The pattern is economically coherent across groups:</w:t>
      </w:r>
    </w:p>
    <w:p>
      <w:pPr>
        <w:spacing w:after="60" w:before="60"/>
        <w:jc w:val="both"/>
      </w:pPr>
      <w:r>
        <w:rPr>
          <w:rFonts w:ascii="Arial" w:cs="Arial" w:eastAsia="Arial" w:hAnsi="Arial"/>
          <w:sz w:val="22"/>
          <w:szCs w:val="22"/>
        </w:rPr>
        <w:t xml:space="preserve">Precious Metals (Gold, Platinum): Consistent negative γ across all GPR specifications. Gold and platinum market crashes amplify conditional variance more than rallies of equal magnitude — consistent with the abrupt nature of safe-haven demand reversals and forced deleveraging events.</w:t>
      </w:r>
    </w:p>
    <w:p>
      <w:pPr>
        <w:spacing w:after="60" w:before="60"/>
        <w:jc w:val="both"/>
      </w:pPr>
      <w:r>
        <w:rPr>
          <w:rFonts w:ascii="Arial" w:cs="Arial" w:eastAsia="Arial" w:hAnsi="Arial"/>
          <w:sz w:val="22"/>
          <w:szCs w:val="22"/>
        </w:rPr>
        <w:t xml:space="preserve">Energy (WTI Oil, Brent Oil, RBOB Gasoline, Heating Oil): Strong negative γ, confirming oil price collapses (e.g., April 2020 negative futures prices) amplify volatility dramatically more than equivalent price rises. RBOB Gasoline and Heating Oil exhibit similar leverage dynamics to crude oil, reflecting their tight downstream linkage to crude price cycles and their sensitivity to refinery margin shocks. Natural Gas shows a positive γ under some specifications, reflecting that gas price spikes driven by supply shortfalls can be as volatility-amplifying as crashes.</w:t>
      </w:r>
    </w:p>
    <w:p>
      <w:pPr>
        <w:spacing w:after="60" w:before="60"/>
        <w:jc w:val="both"/>
      </w:pPr>
      <w:r>
        <w:rPr>
          <w:rFonts w:ascii="Arial" w:cs="Arial" w:eastAsia="Arial" w:hAnsi="Arial"/>
          <w:sz w:val="22"/>
          <w:szCs w:val="22"/>
        </w:rPr>
        <w:t xml:space="preserve">Agricultural (Corn, Soybean, Cocoa): Negative γ significant for supply-concentrated commodities, where crop failures and export restrictions produce sharp downside shocks. Coffee and Cotton do not exhibit a significant leverage effect, consistent with their more symmetrically driven price dynamics.</w:t>
      </w:r>
    </w:p>
    <w:p>
      <w:pPr>
        <w:spacing w:after="60" w:before="60"/>
        <w:jc w:val="both"/>
      </w:pPr>
      <w:r>
        <w:rPr>
          <w:rFonts w:ascii="Arial" w:cs="Arial" w:eastAsia="Arial" w:hAnsi="Arial"/>
          <w:sz w:val="22"/>
          <w:szCs w:val="22"/>
        </w:rPr>
        <w:t xml:space="preserve">Industrial Metals (Copper, Zinc, Lead): Negative γ across all specifications, reflecting that industrial demand crashes produce sharper volatility spikes than demand booms. Nickel shows positive γ under some specifications — consistent with the 2022 LME short squeeze producing an unprecedented upside volatility event.</w:t>
      </w:r>
    </w:p>
    <w:p>
      <w:pPr>
        <w:pStyle w:val="Heading1"/>
        <w:spacing w:after="180" w:before="360"/>
      </w:pPr>
      <w:r>
        <w:rPr>
          <w:rFonts w:ascii="Arial" w:cs="Arial" w:eastAsia="Arial" w:hAnsi="Arial"/>
          <w:b/>
          <w:bCs/>
          <w:color w:val="1F3864"/>
          <w:sz w:val="32"/>
          <w:szCs w:val="32"/>
        </w:rPr>
        <w:t xml:space="preserve">A.3 GPR Coefficient (δ) Results</w:t>
      </w:r>
    </w:p>
    <w:p>
      <w:pPr>
        <w:spacing w:after="60" w:before="60"/>
        <w:jc w:val="both"/>
      </w:pPr>
      <w:r>
        <w:rPr>
          <w:rFonts w:ascii="Arial" w:cs="Arial" w:eastAsia="Arial" w:hAnsi="Arial"/>
          <w:sz w:val="22"/>
          <w:szCs w:val="22"/>
        </w:rPr>
        <w:t xml:space="preserve">The δ coefficient reveals a heterogeneous, GPR-type-dependent pattern with distinct economic interpretations by commodity group. Table A.1 presents the EGARCH δ results for all commodities and GPR variants, along with the estimated half-life in days.</w:t>
      </w:r>
    </w:p>
    <w:p>
      <w:pPr>
        <w:spacing w:after="20" w:before="20"/>
      </w:pPr>
      <w:r>
        <w:t xml:space="preserve"/>
      </w:r>
    </w:p>
    <w:p>
      <w:pPr>
        <w:spacing w:after="60" w:before="60"/>
      </w:pPr>
      <w:r>
        <w:rPr>
          <w:rFonts w:ascii="Arial" w:cs="Arial" w:eastAsia="Arial" w:hAnsi="Arial"/>
          <w:b/>
          <w:bCs/>
          <w:sz w:val="20"/>
          <w:szCs w:val="20"/>
        </w:rPr>
        <w:t xml:space="preserve">Table A.1: EGARCH δ Coefficient Results — All Commodities and GPR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900"/>
        <w:gridCol w:w="1100"/>
        <w:gridCol w:w="1000"/>
        <w:gridCol w:w="1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Commodity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 Type</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Coeff.</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HL (days)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γ (Leverage)</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Interpretation</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Gold</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−6.2×10⁻⁵</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Safe-haven volatility compression</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Gold</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−4.2×10⁻⁵</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Threat-driven safe-haven inflows</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Gold</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−3.0×10⁻⁵</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~51</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Actions: weaker stabilising effect</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Silver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−2.0×10⁻⁴</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Strong safe-haven suppression</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Silver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−2.0×10⁻⁴</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GPRTHREAT dominant for silver</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Silver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−1.5×10⁻⁴</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All three variants significant for silver</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Platinum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−1.1×10⁻⁵</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Near-unit-root persistence; GPR insignificant</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GPR raises oil conditional variance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Threat-level amplification</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+4.4×10⁻⁵</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Actions: smaller, insignificant effect</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more threat-persistent</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Near-unit-root under threats</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−1.6×10⁻⁵</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Actions: stabilising effect for Brent</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Natural Gas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−5.2×10⁻⁵</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mixed</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GPR weak for gas</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Natural Gas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−8.2×10⁻⁵</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mixed</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Threats sharply cut HL to ~1 day</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Natural Gas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mixed</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Actions reduce gas volatility persistence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+2.8×10⁻⁴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Downstream crude exposure; threat channel</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4-month delay; crack-spread propagation</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+3.1×10⁻⁵</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Actions: limited refined product effect</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Dual crude and gas market exposure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+1.9×10⁻⁴</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European energy supply threat channel</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−1.2×10⁻⁵</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ns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Actions: muted; near-unit-root volatility</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Zinc</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+3.0×10⁻⁴</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Strongest industrial metal effect</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Nickel</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+1.7×10⁻³</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 (sig.)</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Large GPR amplification; 2022 LME squeeze</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Wheat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+1.6×10⁻⁴</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Trade disruption channel</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Soybean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+1.9×10⁻⁴</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US–China tension channel</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Cotton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+5.4×10⁻⁴</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&lt;0 (sig.)</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Supply-chain disruption channel</w:t>
            </w:r>
          </w:p>
        </w:tc>
      </w:tr>
    </w:tbl>
    <w:p>
      <w:pPr>
        <w:spacing w:after="120" w:before="40"/>
        <w:jc w:val="center"/>
      </w:pPr>
      <w:r>
        <w:rPr>
          <w:rFonts w:ascii="Arial" w:cs="Arial" w:eastAsia="Arial" w:hAnsi="Arial"/>
          <w:i/>
          <w:iCs/>
          <w:color w:val="595959"/>
          <w:sz w:val="18"/>
          <w:szCs w:val="18"/>
        </w:rPr>
        <w:t xml:space="preserve">HL = half-life in days (ln(0.5)/ln(Σβ)). Significance: ***p&lt;0.01, **p&lt;0.05, *p&lt;0.10, ns = not significant. γ direction refers to the leverage asymmetry parameter. Source: Özdemir et al. (2025) and extended analysis framework.</w:t>
      </w:r>
    </w:p>
    <w:p>
      <w:pPr>
        <w:spacing w:after="20" w:before="20"/>
      </w:pPr>
      <w:r>
        <w:t xml:space="preserve"/>
      </w:r>
    </w:p>
    <w:p>
      <w:pPr>
        <w:pStyle w:val="Heading2"/>
        <w:spacing w:after="120" w:before="240"/>
      </w:pPr>
      <w:r>
        <w:rPr>
          <w:rFonts w:ascii="Arial" w:cs="Arial" w:eastAsia="Arial" w:hAnsi="Arial"/>
          <w:b/>
          <w:bCs/>
          <w:color w:val="2E75B6"/>
          <w:sz w:val="26"/>
          <w:szCs w:val="26"/>
        </w:rPr>
        <w:t xml:space="preserve">A.3.1 Precious Metals: Safe-Haven Mechanism</w:t>
      </w:r>
    </w:p>
    <w:p>
      <w:pPr>
        <w:spacing w:after="60" w:before="60"/>
        <w:jc w:val="both"/>
      </w:pPr>
      <w:r>
        <w:rPr>
          <w:rFonts w:ascii="Arial" w:cs="Arial" w:eastAsia="Arial" w:hAnsi="Arial"/>
          <w:sz w:val="22"/>
          <w:szCs w:val="22"/>
        </w:rPr>
        <w:t xml:space="preserve">Gold and Silver consistently show negative δ under composite GPR and GPRTHREAT — elevated geopolitical threat compresses their conditional variance through stabilising safe-haven demand inflows. For Silver, all three GPR variants produce significant negative δ, suggesting the strongest and most robust EGARCH safe-haven signal in the precious metals group. For Gold, GPR and GPRTHREAT are significant while GPRACT is not — consistent with gold's role as a hedge against uncertain threats rather than confirmed conflict actions. Platinum's long half-life (~164 days) indicates near-unit-root volatility persistence; GPR effects are not statistically significant under EGARCH, though CoTAR detects structural regime-switching under GPRACT (see Section B).</w:t>
      </w:r>
    </w:p>
    <w:p>
      <w:pPr>
        <w:pStyle w:val="Heading2"/>
        <w:spacing w:after="120" w:before="240"/>
      </w:pPr>
      <w:r>
        <w:rPr>
          <w:rFonts w:ascii="Arial" w:cs="Arial" w:eastAsia="Arial" w:hAnsi="Arial"/>
          <w:b/>
          <w:bCs/>
          <w:color w:val="2E75B6"/>
          <w:sz w:val="26"/>
          <w:szCs w:val="26"/>
        </w:rPr>
        <w:t xml:space="preserve">A.3.2 Energy Commodities: Amplification and Stabilisation</w:t>
      </w:r>
    </w:p>
    <w:p>
      <w:pPr>
        <w:spacing w:after="60" w:before="60"/>
        <w:jc w:val="both"/>
      </w:pPr>
      <w:r>
        <w:rPr>
          <w:rFonts w:ascii="Arial" w:cs="Arial" w:eastAsia="Arial" w:hAnsi="Arial"/>
          <w:sz w:val="22"/>
          <w:szCs w:val="22"/>
        </w:rPr>
        <w:t xml:space="preserve">WTI Crude Oil and Brent Crude show positive, significant δ under GPR and GPRTHREAT — elevated geopolitical threat raises energy conditional variance. WTI's half-life is stable across all specifications at approximately 36–37 days, indicating that GPR inclusion does not destabilise the persistence estimate. Brent shows a near-unit-root process under GPRTHREAT (half-life approaching infinity), reflecting that geopolitical threats create an upward ratchet in Brent volatility persistence.</w:t>
      </w:r>
    </w:p>
    <w:p>
      <w:pPr>
        <w:spacing w:after="60" w:before="60"/>
        <w:jc w:val="both"/>
      </w:pPr>
      <w:r>
        <w:rPr>
          <w:rFonts w:ascii="Arial" w:cs="Arial" w:eastAsia="Arial" w:hAnsi="Arial"/>
          <w:sz w:val="22"/>
          <w:szCs w:val="22"/>
        </w:rPr>
        <w:t xml:space="preserve">Natural Gas presents the most nuanced EGARCH finding in the energy group. GPRTHREAT delivers the largest positive δ in absolute terms, dramatically elevating gas conditional variance — consistent with the 2021–2022 Russia–Europe gas standoff, where threats of supply cutoff preceded the actual invasion by months. GPRTHREAT also reduces the Natural Gas half-life from approximately 18 days to ~1 day — the single largest persistence reduction in the full analysis — reflecting how geopolitical threat spikes cause sharp, rapidly-resolved gas volatility episodes. GPRACT produces a significant negative δ (*), suggesting that actual geopolitical actions may clarify gas supply scenarios more than they amplify uncertainty.</w:t>
      </w:r>
    </w:p>
    <w:p>
      <w:pPr>
        <w:spacing w:after="60" w:before="60"/>
        <w:jc w:val="both"/>
      </w:pPr>
      <w:r>
        <w:rPr>
          <w:rFonts w:ascii="Arial" w:cs="Arial" w:eastAsia="Arial" w:hAnsi="Arial"/>
          <w:sz w:val="22"/>
          <w:szCs w:val="22"/>
        </w:rPr>
        <w:t xml:space="preserve">RBOB Gasoline and Heating Oil both show positive, significant δ under GPR and GPRTHREAT, reflecting their downstream crude oil exposure. The 4-month delay observed in crack spread dynamics (visible in RBOB's GPRTHREAT response) is consistent with the time required for crude price movements to flow through refinery capacity allocation. Heating Oil has the highest kurtosis among energy commodities (6.262), driven by extreme winter demand spikes and the 2022 European energy crisis.</w:t>
      </w:r>
    </w:p>
    <w:p>
      <w:pPr>
        <w:pStyle w:val="Heading2"/>
        <w:spacing w:after="120" w:before="240"/>
      </w:pPr>
      <w:r>
        <w:rPr>
          <w:rFonts w:ascii="Arial" w:cs="Arial" w:eastAsia="Arial" w:hAnsi="Arial"/>
          <w:b/>
          <w:bCs/>
          <w:color w:val="2E75B6"/>
          <w:sz w:val="26"/>
          <w:szCs w:val="26"/>
        </w:rPr>
        <w:t xml:space="preserve">A.3.3 Agricultural and Industrial Metals</w:t>
      </w:r>
    </w:p>
    <w:p>
      <w:pPr>
        <w:spacing w:after="60" w:before="60"/>
        <w:jc w:val="both"/>
      </w:pPr>
      <w:r>
        <w:rPr>
          <w:rFonts w:ascii="Arial" w:cs="Arial" w:eastAsia="Arial" w:hAnsi="Arial"/>
          <w:sz w:val="22"/>
          <w:szCs w:val="22"/>
        </w:rPr>
        <w:t xml:space="preserve">Agricultural commodities show predominantly positive δ — consistent with supply-chain disruption raising conditional variance through trade route uncertainty. Soybean's significant positive δ under GPR reflects the US–China bilateral tension channel, while Cotton and Wheat respond through supply disruption and export restriction channels. Industrial metals show mostly positive δ, with Zinc and Nickel exhibiting the strongest GPR amplification — driven by Chinese manufacturing demand sensitivity and sanctions-related supply disruptions respectively.</w:t>
      </w:r>
    </w:p>
    <w:p>
      <w:pPr>
        <w:pStyle w:val="Heading1"/>
        <w:spacing w:after="180" w:before="360"/>
      </w:pPr>
      <w:r>
        <w:rPr>
          <w:rFonts w:ascii="Arial" w:cs="Arial" w:eastAsia="Arial" w:hAnsi="Arial"/>
          <w:b/>
          <w:bCs/>
          <w:color w:val="1F3864"/>
          <w:sz w:val="32"/>
          <w:szCs w:val="32"/>
        </w:rPr>
        <w:t xml:space="preserve">A.4 Key EGARCH Findings</w:t>
      </w:r>
    </w:p>
    <w:p>
      <w:pPr>
        <w:spacing w:after="60" w:before="60"/>
        <w:jc w:val="both"/>
      </w:pPr>
      <w:r>
        <w:rPr>
          <w:rFonts w:ascii="Arial" w:cs="Arial" w:eastAsia="Arial" w:hAnsi="Arial"/>
          <w:sz w:val="22"/>
          <w:szCs w:val="22"/>
        </w:rPr>
        <w:t xml:space="preserve">Three cross-commodity findings emerge from the EGARCH analysis. First, precious metals consistently show negative δ under GPR and GPRTHREAT, reflecting the safe-haven mechanism: elevated geopolitical threat compresses gold and silver conditional variance by anchoring investor demand. Second, energy commodities show positive δ under GPR and GPRTHREAT for crude oil benchmarks, but negative or insignificant δ for Natural Gas under GPRACT — geopolitical actions may clarify rather than amplify gas market uncertainty by resolving supply scenarios. Third, agricultural and industrial metals show predominantly positive δ, consistent with supply-chain disruption raising conditional variance through trade route uncertainty and manufacturing demand volatility.</w:t>
      </w:r>
    </w:p>
    <w:p>
      <w:pPr>
        <w:spacing w:after="60" w:before="60"/>
        <w:jc w:val="both"/>
      </w:pPr>
      <w:r>
        <w:rPr>
          <w:rFonts w:ascii="Arial" w:cs="Arial" w:eastAsia="Arial" w:hAnsi="Arial"/>
          <w:sz w:val="22"/>
          <w:szCs w:val="22"/>
        </w:rPr>
        <w:t xml:space="preserve">The leverage effect (γ &lt; 0) is confirmed for 10 of 18 commodities, with notable exceptions for Natural Gas (positive γ under some specifications) and Nickel (positive γ, capturing the 2022 upside squeeze event). The EGARCH framework is most informative for: (i) real-time VaR and options desk calibration, (ii) understanding the asymmetric response of commodity prices to positive versus negative GPR shocks, and (iii) identifying whether GPR effects are persistent (high HL) or transitory.</w:t>
      </w:r>
    </w:p>
    <w:p>
      <w:pPr>
        <w:spacing w:after="0" w:before="0"/>
      </w:pPr>
      <w:r>
        <w:br w:type="page"/>
      </w:r>
    </w:p>
    <w:p>
      <w:pPr>
        <w:spacing w:after="120" w:before="240"/>
        <w:jc w:val="center"/>
      </w:pPr>
      <w:r>
        <w:rPr>
          <w:rFonts w:ascii="Arial" w:cs="Arial" w:eastAsia="Arial" w:hAnsi="Arial"/>
          <w:color w:val="375623"/>
          <w:sz w:val="22"/>
          <w:szCs w:val="22"/>
        </w:rPr>
        <w:t xml:space="preserve">━━━━━━━━━━━━━━━━━━━━━━━━━━━━━━━━━━━━━━━━━━━━━━━━━━━━━━━</w:t>
      </w:r>
    </w:p>
    <w:p>
      <w:pPr>
        <w:spacing w:after="60" w:before="60"/>
        <w:jc w:val="center"/>
      </w:pPr>
      <w:r>
        <w:rPr>
          <w:rFonts w:ascii="Arial" w:cs="Arial" w:eastAsia="Arial" w:hAnsi="Arial"/>
          <w:b/>
          <w:bCs/>
          <w:color w:val="375623"/>
          <w:sz w:val="36"/>
          <w:szCs w:val="36"/>
        </w:rPr>
        <w:t xml:space="preserve">SECTION B: CoTAR/TAR FRAMEWORK ANALYSIS</w:t>
      </w:r>
    </w:p>
    <w:p>
      <w:pPr>
        <w:spacing w:after="60" w:before="60"/>
        <w:jc w:val="center"/>
      </w:pPr>
      <w:r>
        <w:rPr>
          <w:rFonts w:ascii="Arial" w:cs="Arial" w:eastAsia="Arial" w:hAnsi="Arial"/>
          <w:i/>
          <w:iCs/>
          <w:color w:val="375623"/>
          <w:sz w:val="24"/>
          <w:szCs w:val="24"/>
        </w:rPr>
        <w:t xml:space="preserve">Adaptive Threshold Autoregression and GPR Regime Dynamics — All 18 Commodities, Updated to March 2026</w:t>
      </w:r>
    </w:p>
    <w:p>
      <w:pPr>
        <w:spacing w:after="240" w:before="0"/>
        <w:jc w:val="center"/>
      </w:pPr>
      <w:r>
        <w:rPr>
          <w:rFonts w:ascii="Arial" w:cs="Arial" w:eastAsia="Arial" w:hAnsi="Arial"/>
          <w:color w:val="375623"/>
          <w:sz w:val="22"/>
          <w:szCs w:val="22"/>
        </w:rPr>
        <w:t xml:space="preserve">━━━━━━━━━━━━━━━━━━━━━━━━━━━━━━━━━━━━━━━━━━━━━━━━━━━━━━━</w:t>
      </w:r>
    </w:p>
    <w:p>
      <w:pPr>
        <w:pStyle w:val="Heading1"/>
        <w:spacing w:after="180" w:before="360"/>
      </w:pPr>
      <w:r>
        <w:rPr>
          <w:rFonts w:ascii="Arial" w:cs="Arial" w:eastAsia="Arial" w:hAnsi="Arial"/>
          <w:b/>
          <w:bCs/>
          <w:color w:val="1F3864"/>
          <w:sz w:val="32"/>
          <w:szCs w:val="32"/>
        </w:rPr>
        <w:t xml:space="preserve">B.1 CoTAR/TAR Methodological Framework</w:t>
      </w:r>
    </w:p>
    <w:p>
      <w:pPr>
        <w:spacing w:after="60" w:before="60"/>
        <w:jc w:val="both"/>
      </w:pPr>
      <w:r>
        <w:rPr>
          <w:rFonts w:ascii="Arial" w:cs="Arial" w:eastAsia="Arial" w:hAnsi="Arial"/>
          <w:sz w:val="22"/>
          <w:szCs w:val="22"/>
        </w:rPr>
        <w:t xml:space="preserve">The Threshold Autoregression (TAR) model and its adaptive extension CoTAR specify that monthly log-RV follows one of two AR(2) processes depending on whether log(GPR) falls below or above a threshold. The key distinction between TAR and CoTAR is the nature of this threshold:</w:t>
      </w:r>
    </w:p>
    <w:p>
      <w:pPr>
        <w:spacing w:after="60" w:before="120"/>
        <w:jc w:val="center"/>
      </w:pPr>
      <w:r>
        <w:rPr>
          <w:rFonts w:ascii="Courier New" w:cs="Courier New" w:eastAsia="Courier New" w:hAnsi="Courier New"/>
          <w:sz w:val="20"/>
          <w:szCs w:val="20"/>
        </w:rPr>
        <w:t xml:space="preserve">Regime 1 (Low GPR): yₜ = α₁ + φ₁,₁yₜ₋₁ + φ₁,₂yₜ₋₂ + uₜ    if xₜ₋ᵈ &lt; μₜ₋ᵈ₋₁(c)</w:t>
      </w:r>
    </w:p>
    <w:p>
      <w:pPr>
        <w:spacing w:after="120" w:before="0"/>
        <w:jc w:val="center"/>
      </w:pPr>
      <w:r>
        <w:rPr>
          <w:rFonts w:ascii="Courier New" w:cs="Courier New" w:eastAsia="Courier New" w:hAnsi="Courier New"/>
          <w:sz w:val="20"/>
          <w:szCs w:val="20"/>
        </w:rPr>
        <w:t xml:space="preserve">Regime 2 (High GPR): yₜ = α₂ + φ₂,₁yₜ₋₁ + φ₂,₂yₜ₋₂ + uₜ    if xₜ₋ᵈ ≥ μₜ₋ᵈ₋₁(c)</w:t>
      </w:r>
    </w:p>
    <w:p>
      <w:pPr>
        <w:spacing w:after="60" w:before="60"/>
        <w:jc w:val="both"/>
      </w:pPr>
      <w:r>
        <w:rPr>
          <w:rFonts w:ascii="Arial" w:cs="Arial" w:eastAsia="Arial" w:hAnsi="Arial"/>
          <w:sz w:val="22"/>
          <w:szCs w:val="22"/>
        </w:rPr>
        <w:t xml:space="preserve">In CoTAR, the conditional threshold μₜ(c) is the 100c-th percentile of the most recent m = 12 observations of x (log GPR), updated monthly. In TAR, μ is a fixed global quantile. CoTAR captures the economic reality that the same GPR level feels 'elevated' in a tranquil period but 'normal' during a protracted crisis. Parameters are estimated via profile conditional least squares; threshold effects are tested by the Hansen (1996) wild-bootstrap procedure (B = 999 replications). Out-of-sample evaluation uses rolling windows (80% training) with the Diebold–Mariano (1995) test corrected for small samples per Harvey et al. (1997).</w:t>
      </w:r>
    </w:p>
    <w:p>
      <w:pPr>
        <w:spacing w:after="20" w:before="20"/>
      </w:pPr>
      <w:r>
        <w:t xml:space="preserve"/>
      </w:r>
    </w:p>
    <w:p>
      <w:pPr>
        <w:spacing w:after="60" w:before="60"/>
      </w:pPr>
      <w:r>
        <w:rPr>
          <w:rFonts w:ascii="Arial" w:cs="Arial" w:eastAsia="Arial" w:hAnsi="Arial"/>
          <w:b/>
          <w:bCs/>
          <w:sz w:val="20"/>
          <w:szCs w:val="20"/>
        </w:rPr>
        <w:t xml:space="preserve">Table B.0: TAR vs. CoTAR vs. EGARCH — Structural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 (Fixed)</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CoTAR (Adaptive)</w:t>
            </w:r>
          </w:p>
        </w:tc>
        <w:tc>
          <w:tcPr>
            <w:tcW w:type="dxa" w:w="25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EGARCH (for context)</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Model Family</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Regime-switching AR(2)</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Regime-switching AR(2) with rolling quantile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Conditional variance (ARCH-type)</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Threshold</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Fixed constant μ̂ (global sample quantile)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Adaptive μₜ(c) = rolling 12-month percentile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None — continuous GPR regressor</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GPR Role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Regime-determining variable (fixed boundary)</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Time-varying threshold; regimes update monthly</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External regressor δ·GPRₜ in variance equation</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Investor Relativity</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Partial — boundary fixed globally</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Full — boundary adapts to recent GPR experience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None — δ fixed over full sample</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Key Advantage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Simple regime logic; well-studied asymptotics</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Behaviourally motivated; adapts to recent GPR</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Captures leverage effect and shock persistence</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Key Limitation</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Fixed threshold ignores time-varying GPR context</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Strong in-sample signals don't always persist OOS</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Cannot model regime-switching in AR dynamics</w:t>
            </w:r>
          </w:p>
        </w:tc>
      </w:tr>
      <w:tr>
        <w:tc>
          <w:tcPr>
            <w:gridSpan w:val="1"/>
            <w:tcBorders>
              <w:top w:val="single" w:color="CCCCCC" w:sz="1"/>
              <w:left w:val="single" w:color="CCCCCC" w:sz="1"/>
              <w:bottom w:val="single" w:color="CCCCCC" w:sz="1"/>
              <w:right w:val="single" w:color="CCCCCC" w:sz="1"/>
            </w:tcBorders>
            <w:shd w:fill="F2F8FF" w:val="clear"/>
            <w:tcMar>
              <w:top w:type="dxa" w:w="60"/>
              <w:left w:type="dxa" w:w="100"/>
              <w:bottom w:type="dxa" w:w="60"/>
              <w:right w:type="dxa" w:w="100"/>
            </w:tcMar>
          </w:tcPr>
          <w:p>
            <w:pPr>
              <w:jc w:val="left"/>
            </w:pPr>
            <w:r>
              <w:rPr>
                <w:rFonts w:ascii="Arial" w:cs="Arial" w:eastAsia="Arial" w:hAnsi="Arial"/>
                <w:b/>
                <w:bCs/>
                <w:sz w:val="18"/>
                <w:szCs w:val="18"/>
              </w:rPr>
              <w:t xml:space="preserve">OOS Forecast</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Modest gain over AR in select cases</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On par with or better than TAR; never clearly worse</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Effective for volatility level forecasting</w:t>
            </w:r>
          </w:p>
        </w:tc>
      </w:tr>
    </w:tbl>
    <w:p>
      <w:pPr>
        <w:spacing w:after="120" w:before="40"/>
        <w:jc w:val="center"/>
      </w:pPr>
      <w:r>
        <w:rPr>
          <w:rFonts w:ascii="Arial" w:cs="Arial" w:eastAsia="Arial" w:hAnsi="Arial"/>
          <w:i/>
          <w:iCs/>
          <w:color w:val="595959"/>
          <w:sz w:val="18"/>
          <w:szCs w:val="18"/>
        </w:rPr>
        <w:t xml:space="preserve">Summary of key modelling dimensions distinguishing TAR, CoTAR, and EGARCH frameworks.</w:t>
      </w:r>
    </w:p>
    <w:p>
      <w:pPr>
        <w:pStyle w:val="Heading1"/>
        <w:spacing w:after="180" w:before="360"/>
      </w:pPr>
      <w:r>
        <w:rPr>
          <w:rFonts w:ascii="Arial" w:cs="Arial" w:eastAsia="Arial" w:hAnsi="Arial"/>
          <w:b/>
          <w:bCs/>
          <w:color w:val="1F3864"/>
          <w:sz w:val="32"/>
          <w:szCs w:val="32"/>
        </w:rPr>
        <w:t xml:space="preserve">B.2 Log-RV Time Series and GPR Threshold Visualisation</w:t>
      </w:r>
    </w:p>
    <w:p>
      <w:pPr>
        <w:spacing w:after="60" w:before="60"/>
        <w:jc w:val="both"/>
      </w:pPr>
      <w:r>
        <w:rPr>
          <w:rFonts w:ascii="Arial" w:cs="Arial" w:eastAsia="Arial" w:hAnsi="Arial"/>
          <w:sz w:val="22"/>
          <w:szCs w:val="22"/>
        </w:rPr>
        <w:t xml:space="preserve">Figure B.1 displays the monthly log-realized variance time series for all 18 commodity futures over the January 2000 – March 2026 sample period. The COVID-19 pandemic spike (2020), Russia–Ukraine war escalation (2022), and the elevated GPR episodes of 2025–2026 are visible across all commodity groups, with energy commodities exhibiting the most pronounced spikes.</w:t>
      </w:r>
    </w:p>
    <w:p>
      <w:pPr>
        <w:spacing w:after="20" w:before="20"/>
      </w:pPr>
      <w:r>
        <w:t xml:space="preserve"/>
      </w:r>
    </w:p>
    <w:p>
      <w:pPr>
        <w:jc w:val="center"/>
      </w:pPr>
      <w:r>
        <w:drawing>
          <wp:inline distT="0" distB="0" distL="0" distR="0">
            <wp:extent cx="5943600" cy="1567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6781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B.1: Monthly log-RV time series for all 18 commodity futures, January 2000 – March 2026. All series show the COVID-19 spike (2020) and Russia–Ukraine war volatility (2022). Source: Updated CoTAR analysis output.</w:t>
      </w:r>
    </w:p>
    <w:p>
      <w:pPr>
        <w:spacing w:after="20" w:before="20"/>
      </w:pPr>
      <w:r>
        <w:t xml:space="preserve"/>
      </w:r>
    </w:p>
    <w:p>
      <w:pPr>
        <w:spacing w:after="60" w:before="60"/>
        <w:jc w:val="both"/>
      </w:pPr>
      <w:r>
        <w:rPr>
          <w:rFonts w:ascii="Arial" w:cs="Arial" w:eastAsia="Arial" w:hAnsi="Arial"/>
          <w:sz w:val="22"/>
          <w:szCs w:val="22"/>
        </w:rPr>
        <w:t xml:space="preserve">Figures B.2 and B.3 contrast the adaptive CoTAR threshold with the fixed TAR threshold for all 18 commodities. The rolling-percentile threshold in Figure B.2 correctly contextualises each GPR reading relative to the most recent 12-month experience, elevating regime boundaries during the sustained 2022–2026 high-GPR period. The fixed TAR threshold in Figure B.3 applies the same boundary regardless of recent context — assigning a given GPR level to the same regime in a tranquil 2005 and in the heightened-tension 2022 environment.</w:t>
      </w:r>
    </w:p>
    <w:p>
      <w:pPr>
        <w:spacing w:after="20" w:before="20"/>
      </w:pPr>
      <w:r>
        <w:t xml:space="preserve"/>
      </w:r>
    </w:p>
    <w:p>
      <w:pPr>
        <w:jc w:val="center"/>
      </w:pPr>
      <w:r>
        <w:drawing>
          <wp:inline distT="0" distB="0" distL="0" distR="0">
            <wp:extent cx="59436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69151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B.2: CoTAR adaptive conditional threshold μₜ₋₁(c) (red line) vs. log-GPR series (blue) for all 18 commodities. The rolling-percentile threshold contextualises each GPR reading relative to the most recent 12-month distribution. Updated to March 2026.</w:t>
      </w:r>
    </w:p>
    <w:p>
      <w:pPr>
        <w:spacing w:after="20" w:before="20"/>
      </w:pPr>
      <w:r>
        <w:t xml:space="preserve"/>
      </w:r>
    </w:p>
    <w:p>
      <w:pPr>
        <w:jc w:val="center"/>
      </w:pPr>
      <w:r>
        <w:drawing>
          <wp:inline distT="0" distB="0" distL="0" distR="0">
            <wp:extent cx="5943600" cy="691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9151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B.3: TAR constant threshold μ̂ (horizontal red line = global median) vs. log-GPR series for all 18 commodities. The fixed partition is context-insensitive: identical GPR readings in 2005 and 2022 receive the same regime assignment. Updated to March 2026.</w:t>
      </w:r>
    </w:p>
    <w:p>
      <w:pPr>
        <w:spacing w:after="0" w:before="0"/>
      </w:pPr>
      <w:r>
        <w:br w:type="page"/>
      </w:r>
    </w:p>
    <w:p>
      <w:pPr>
        <w:pStyle w:val="Heading1"/>
        <w:spacing w:after="180" w:before="360"/>
      </w:pPr>
      <w:r>
        <w:rPr>
          <w:rFonts w:ascii="Arial" w:cs="Arial" w:eastAsia="Arial" w:hAnsi="Arial"/>
          <w:b/>
          <w:bCs/>
          <w:color w:val="1F3864"/>
          <w:sz w:val="32"/>
          <w:szCs w:val="32"/>
        </w:rPr>
        <w:t xml:space="preserve">B.3 Hansen Wild-Bootstrap Threshold Tests</w:t>
      </w:r>
    </w:p>
    <w:p>
      <w:pPr>
        <w:spacing w:after="60" w:before="60"/>
        <w:jc w:val="both"/>
      </w:pPr>
      <w:r>
        <w:rPr>
          <w:rFonts w:ascii="Arial" w:cs="Arial" w:eastAsia="Arial" w:hAnsi="Arial"/>
          <w:sz w:val="22"/>
          <w:szCs w:val="22"/>
        </w:rPr>
        <w:t xml:space="preserve">The Hansen (1996) wild-bootstrap test assesses H₀: β₁ = β₂ (identical AR dynamics across GPR regimes). Rejection signals that GPR regime membership fundamentally alters the autoregressive structure of commodity log-RV — not merely the level, but the persistence and drift dynamics. Table B.1 summarises the sup-Wald p-values and ΔR² improvements across all 18 commodities and three GPR types, along with the principal threshold-test findings.</w:t>
      </w:r>
    </w:p>
    <w:p>
      <w:pPr>
        <w:spacing w:after="20" w:before="20"/>
      </w:pPr>
      <w:r>
        <w:t xml:space="preserve"/>
      </w:r>
    </w:p>
    <w:p>
      <w:pPr>
        <w:jc w:val="center"/>
      </w:pPr>
      <w:r>
        <w:drawing>
          <wp:inline distT="0" distB="0" distL="0" distR="0">
            <wp:extent cx="59436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7180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B.4: Hansen wild-bootstrap sup-Wald p-value heatmap for all 18 commodities × 3 GPR types (54 combinations). Darker red = stronger threshold evidence. Significance: ***p&lt;0.01, **p&lt;0.05, *p&lt;0.10. Sample: January 2000 – March 2026. Source: Updated CoTAR analysis output.</w:t>
      </w:r>
    </w:p>
    <w:p>
      <w:pPr>
        <w:spacing w:after="20" w:before="20"/>
      </w:pPr>
      <w:r>
        <w:t xml:space="preserve"/>
      </w:r>
    </w:p>
    <w:p>
      <w:pPr>
        <w:spacing w:after="60" w:before="60"/>
      </w:pPr>
      <w:r>
        <w:rPr>
          <w:rFonts w:ascii="Arial" w:cs="Arial" w:eastAsia="Arial" w:hAnsi="Arial"/>
          <w:b/>
          <w:bCs/>
          <w:sz w:val="20"/>
          <w:szCs w:val="20"/>
        </w:rPr>
        <w:t xml:space="preserve">Table B.1: CoTAR Hansen Threshold Test Results — All 18 Commodities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2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Commodity</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
(supWald 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GPRTHREAT
(supWald 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GPRACT
(supWald p)</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 Sig.</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ΔR² Range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Economic Interpretation</w:t>
            </w:r>
          </w:p>
        </w:tc>
      </w:tr>
      <w:tr>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Gold</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0.431</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0.381</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0.345</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5.2–5.2%</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Safe-haven: GPR compresses vol (EGARCH channel); no AR regime switching</w:t>
            </w:r>
          </w:p>
        </w:tc>
      </w:tr>
      <w:tr>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Silver</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0.613</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0.629</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0.249</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10.8–12.3%</w:t>
            </w:r>
          </w:p>
        </w:tc>
        <w:tc>
          <w:tcPr>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Strong safe-haven mechanism; large ΔR² but no structural AR regime boundary</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Platinum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0.123</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0.490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0.006***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GPRACT***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8.3–9.0%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Dual industrial/safe-haven: GPRACT disrupts supply chains (mining, catalysts)</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Wheat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0.078*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0.129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0.931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GPR*</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4.7–6.7%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Composite GPR captures both conflict threat + export action channels</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Sweetcorn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0.408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0.991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0.738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4.8–5.5%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significant threshold; GPR influence channeled via level not regime</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Soybean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0.142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0.046**</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0.281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GPRTHREAT**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6.9–7.0%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US–China bilateral tensions; threat-level phenomenon, not realised actions</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Cotton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0.178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0.434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0.029**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GPRACT**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8.5–10.7%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Trade restrictions and shipping disruptions trigger regime shift</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Cocoa</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0.827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0.201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0.870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4.8–5.5%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significant threshold; supply disruptions absorbed within-regime</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Coffee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0.415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0.285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0.553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6.2–7.2%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threshold; idiosyncratic supply drivers dominate</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Copper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0.449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0.667</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0.150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11.9–12.4%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Large ΔR² but marginal threshold; industrial cycle channel dominates</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Zinc</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0.001***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0.072*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0.581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GPR***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4.8–10.5%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Both GPR and GPRTHREAT: manufacturing sentiment/Chinese demand channel</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Nickel</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0.709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0.137</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0.842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6.5–7.5%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threshold; idiosyncratic (2022 LME squeeze) dominates regime signal</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Lead</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0.636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0.464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0.796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5.1–6.5%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threshold; industrial demand relatively GPR-insensitive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0.525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0.010**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0.000***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6.8–7.8%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Study's strongest finding; both threat and action reshape AR structure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0.929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0.069*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0.547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4.4–5.9%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Threats marginally significant; European supply threat channel</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Natural Gas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0.879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0.525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0.243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6.0–7.1%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threshold; supply-side (LNG, pipeline) dominates within-regime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0.215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0.464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0.313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6.5–7.9%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Refined product; marginal ave-Wald evidence (GPRTHREAT); 4-month lag</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0.910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0.774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0.611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5.8–6.5%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No threshold; dual crude/gas exposure captured within-regime</w:t>
            </w:r>
          </w:p>
        </w:tc>
      </w:tr>
    </w:tbl>
    <w:p>
      <w:pPr>
        <w:spacing w:after="120" w:before="40"/>
        <w:jc w:val="center"/>
      </w:pPr>
      <w:r>
        <w:rPr>
          <w:rFonts w:ascii="Arial" w:cs="Arial" w:eastAsia="Arial" w:hAnsi="Arial"/>
          <w:i/>
          <w:iCs/>
          <w:color w:val="595959"/>
          <w:sz w:val="18"/>
          <w:szCs w:val="18"/>
        </w:rPr>
        <w:t xml:space="preserve">Significance: ***p&lt;0.01, **p&lt;0.05, *p&lt;0.10. P-values shown are sup-Wald bootstrap p-values. ΔR² range shows minimum–maximum in-sample improvement across three GPR variants. Source: Updated CoTAR analysis output, January 2000 – March 2026.</w:t>
      </w:r>
    </w:p>
    <w:p>
      <w:pPr>
        <w:spacing w:after="20" w:before="20"/>
      </w:pPr>
      <w:r>
        <w:t xml:space="preserve"/>
      </w:r>
    </w:p>
    <w:p>
      <w:pPr>
        <w:pStyle w:val="Heading2"/>
        <w:spacing w:after="120" w:before="240"/>
      </w:pPr>
      <w:r>
        <w:rPr>
          <w:rFonts w:ascii="Arial" w:cs="Arial" w:eastAsia="Arial" w:hAnsi="Arial"/>
          <w:b/>
          <w:bCs/>
          <w:color w:val="2E75B6"/>
          <w:sz w:val="26"/>
          <w:szCs w:val="26"/>
        </w:rPr>
        <w:t xml:space="preserve">B.3.1 Principal Threshold-Test Findings</w:t>
      </w:r>
    </w:p>
    <w:p>
      <w:pPr>
        <w:spacing w:after="60" w:before="60"/>
        <w:jc w:val="both"/>
      </w:pPr>
      <w:r>
        <w:rPr>
          <w:rFonts w:ascii="Arial" w:cs="Arial" w:eastAsia="Arial" w:hAnsi="Arial"/>
          <w:sz w:val="22"/>
          <w:szCs w:val="22"/>
        </w:rPr>
        <w:t xml:space="preserve">Under composite GPR: Significant effects are found for Wheat (sup-Wald p = 0.078*) and Zinc (p = 0.001***, the study's strongest non-energy threshold finding, confirmed by both Wald and LM test families: p_supLM = 0.006***, p_aveLM = 0.002***). Brent Crude shows no significant effect under composite GPR (p = 0.929).</w:t>
      </w:r>
    </w:p>
    <w:p>
      <w:pPr>
        <w:spacing w:after="60" w:before="60"/>
        <w:jc w:val="both"/>
      </w:pPr>
      <w:r>
        <w:rPr>
          <w:rFonts w:ascii="Arial" w:cs="Arial" w:eastAsia="Arial" w:hAnsi="Arial"/>
          <w:sz w:val="22"/>
          <w:szCs w:val="22"/>
        </w:rPr>
        <w:t xml:space="preserve">Under GPRTHREAT: Threshold effects emerge for Soybean (sup-Wald p = 0.046**; ave-Wald p = 0.004***), Zinc (sup-Wald p = 0.072*; ave-Wald p = 0.004***), Brent Crude (sup-Wald p = 0.069*), and — most significantly — WTI Oil (p = 0.010**; ave-Wald p = 0.021**), confirming that threat-level geopolitical risk creates structural regime switching in both crude benchmarks under the threat sub-index.</w:t>
      </w:r>
    </w:p>
    <w:p>
      <w:pPr>
        <w:spacing w:after="60" w:before="60"/>
        <w:jc w:val="both"/>
      </w:pPr>
      <w:r>
        <w:rPr>
          <w:rFonts w:ascii="Arial" w:cs="Arial" w:eastAsia="Arial" w:hAnsi="Arial"/>
          <w:sz w:val="22"/>
          <w:szCs w:val="22"/>
        </w:rPr>
        <w:t xml:space="preserve">Under GPRACT: The strongest effects cluster in WTI Oil (sup-Wald statistic = 31.65, p = 0.000***, the highest in the full analysis — a value that remains unchanged on the extended sample), Platinum (p = 0.006***), and Cotton (p = 0.029**). This GPR-action dominance for oil and platinum/cotton reflects direct physical supply disruption channels. Importantly, no significant GPRACT threshold effects are found for Heating Oil, Natural Gas, or RBOB Gasoline, despite these commodities showing positive in-sample ΔR² improvements.</w:t>
      </w:r>
    </w:p>
    <w:p>
      <w:pPr>
        <w:pStyle w:val="Heading1"/>
        <w:spacing w:after="180" w:before="360"/>
      </w:pPr>
      <w:r>
        <w:rPr>
          <w:rFonts w:ascii="Arial" w:cs="Arial" w:eastAsia="Arial" w:hAnsi="Arial"/>
          <w:b/>
          <w:bCs/>
          <w:color w:val="1F3864"/>
          <w:sz w:val="32"/>
          <w:szCs w:val="32"/>
        </w:rPr>
        <w:t xml:space="preserve">B.4 In-Sample Fit: ΔR² and AIC Improvement</w:t>
      </w:r>
    </w:p>
    <w:p>
      <w:pPr>
        <w:spacing w:after="60" w:before="60"/>
        <w:jc w:val="both"/>
      </w:pPr>
      <w:r>
        <w:rPr>
          <w:rFonts w:ascii="Arial" w:cs="Arial" w:eastAsia="Arial" w:hAnsi="Arial"/>
          <w:sz w:val="22"/>
          <w:szCs w:val="22"/>
        </w:rPr>
        <w:t xml:space="preserve">Even where Hansen tests do not reach conventional significance, CoTAR consistently improves in-sample fit over the linear AR(2) benchmark. The ΔR² metric measures the percentage reduction in residual variation attributable to the threshold regime structure. Figure B.5 shows ΔR² across all 18 commodities and GPR variants.</w:t>
      </w:r>
    </w:p>
    <w:p>
      <w:pPr>
        <w:spacing w:after="20" w:before="20"/>
      </w:pPr>
      <w:r>
        <w:t xml:space="preserve"/>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43150"/>
                    </a:xfrm>
                    <a:prstGeom prst="rect">
                      <a:avLst/>
                    </a:prstGeom>
                  </pic:spPr>
                </pic:pic>
              </a:graphicData>
            </a:graphic>
          </wp:inline>
        </w:drawing>
      </w:r>
    </w:p>
    <w:p>
      <w:pPr>
        <w:spacing w:after="120" w:before="40"/>
        <w:jc w:val="center"/>
      </w:pPr>
      <w:r>
        <w:rPr>
          <w:rFonts w:ascii="Arial" w:cs="Arial" w:eastAsia="Arial" w:hAnsi="Arial"/>
          <w:i/>
          <w:iCs/>
          <w:color w:val="595959"/>
          <w:sz w:val="18"/>
          <w:szCs w:val="18"/>
        </w:rPr>
        <w:t xml:space="preserve">Figure B.5: In-sample CoTAR ΔR² improvement (%) over AR(2) for all 18 commodities by GPR variant. Starred bars indicate statistically significant Hansen threshold effects. Copper and Silver achieve the largest improvements. Sample: January 2000 – March 2026. Source: Updated CoTAR analysis output.</w:t>
      </w:r>
    </w:p>
    <w:p>
      <w:pPr>
        <w:spacing w:after="20" w:before="20"/>
      </w:pPr>
      <w:r>
        <w:t xml:space="preserve"/>
      </w:r>
    </w:p>
    <w:p>
      <w:pPr>
        <w:spacing w:after="60" w:before="60"/>
        <w:jc w:val="both"/>
      </w:pPr>
      <w:r>
        <w:rPr>
          <w:rFonts w:ascii="Arial" w:cs="Arial" w:eastAsia="Arial" w:hAnsi="Arial"/>
          <w:sz w:val="22"/>
          <w:szCs w:val="22"/>
        </w:rPr>
        <w:t xml:space="preserve">The largest ΔR² improvements are for Copper (12.1% under GPR; 12.4% under GPRACT), Silver (11.0% under GPR; 12.3% under GPRACT), Zinc (10.5% under GPR), and Platinum (9.0% under GPRACT). For energy commodities, RBOB Gasoline achieves 6.6% / 7.9% / 6.5% improvement (GPR/GPRTHREAT/GPRACT) and Heating Oil 5.8% / 5.8% / 6.5%. The AIC consistently favours CoTAR in all 54 commodity-GPR combinations. The notable observation is that Copper and Silver exhibit large ΔR² improvements without corresponding significant Hansen threshold test p-values — this dissociation occurs because in-sample fit gain does not guarantee statistically identifiable regime-separation, particularly when regimes overlap in GPR space.</w:t>
      </w:r>
    </w:p>
    <w:p>
      <w:pPr>
        <w:spacing w:after="0" w:before="0"/>
      </w:pPr>
      <w:r>
        <w:br w:type="page"/>
      </w:r>
    </w:p>
    <w:p>
      <w:pPr>
        <w:pStyle w:val="Heading1"/>
        <w:spacing w:after="180" w:before="360"/>
      </w:pPr>
      <w:r>
        <w:rPr>
          <w:rFonts w:ascii="Arial" w:cs="Arial" w:eastAsia="Arial" w:hAnsi="Arial"/>
          <w:b/>
          <w:bCs/>
          <w:color w:val="1F3864"/>
          <w:sz w:val="32"/>
          <w:szCs w:val="32"/>
        </w:rPr>
        <w:t xml:space="preserve">B.5 CoTAR Regime-Specific Parameters</w:t>
      </w:r>
    </w:p>
    <w:p>
      <w:pPr>
        <w:spacing w:after="60" w:before="60"/>
        <w:jc w:val="both"/>
      </w:pPr>
      <w:r>
        <w:rPr>
          <w:rFonts w:ascii="Arial" w:cs="Arial" w:eastAsia="Arial" w:hAnsi="Arial"/>
          <w:sz w:val="22"/>
          <w:szCs w:val="22"/>
        </w:rPr>
        <w:t xml:space="preserve">Beyond the binary question of whether threshold effects exist, the CoTAR parameter estimates quantify how AR dynamics differ across low-GPR (Regime 1) and high-GPR (Regime 2) states. Table B.2 presents regime-specific parameters for the most economically important commodity-GPR combinations.</w:t>
      </w:r>
    </w:p>
    <w:p>
      <w:pPr>
        <w:spacing w:after="20" w:before="20"/>
      </w:pPr>
      <w:r>
        <w:t xml:space="preserve"/>
      </w:r>
    </w:p>
    <w:p>
      <w:pPr>
        <w:spacing w:after="60" w:before="60"/>
      </w:pPr>
      <w:r>
        <w:rPr>
          <w:rFonts w:ascii="Arial" w:cs="Arial" w:eastAsia="Arial" w:hAnsi="Arial"/>
          <w:b/>
          <w:bCs/>
          <w:sz w:val="20"/>
          <w:szCs w:val="20"/>
        </w:rPr>
        <w:t xml:space="preserve">Table B.2: CoTAR Regime-Specific Parameters — Key Commodity-GPR Combinations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500"/>
        <w:gridCol w:w="500"/>
        <w:gridCol w:w="500"/>
        <w:gridCol w:w="500"/>
        <w:gridCol w:w="500"/>
        <w:gridCol w:w="500"/>
        <w:gridCol w:w="500"/>
        <w:gridCol w:w="500"/>
        <w:gridCol w:w="650"/>
        <w:gridCol w:w="90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Commodity</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α₁</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φ₁,₁</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α₂</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φ₂,₁</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Shr R1</w:t>
            </w:r>
          </w:p>
        </w:tc>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Shr R2</w:t>
            </w:r>
          </w:p>
        </w:tc>
        <w:tc>
          <w:tcPr>
            <w:tcW w:type="dxa" w:w="6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 R2</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Economic Note</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0.667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-5.080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0.023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-5.163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0.238**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64.6%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2.2m</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High-GPRACT regime: shorter, AR-persistent episodes</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0.167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-3.324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0.017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-4.980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0.130**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84.1%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7.3m</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Most obs. in high-threat regime post-2014</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Zinc</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0.750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-5.286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-0.027</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-9.012**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-0.159*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68.9%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31.1%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2.0m</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Dramatic intercept gap: China manufacturing disruption</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Platinum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0.583</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-4.708</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0.173**</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-5.470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0.075</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59.2%</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40.8%</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2.8m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GPRACT disrupts supply chains (mining zones)</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Soybean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0.333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-4.468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0.306***</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-5.337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0.017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30.1%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69.9%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4.2m</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High-threat regime dominant; US-China bilateral tensions</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Cotton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0.333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-5.637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0.056</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-4.871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0.069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35.5%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64.5%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4.0m</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GPRACT triggers regime; trade restriction channel</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0.167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-4.112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0.133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-4.969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0.049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15.9%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84.0%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7.2m</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High-threat dominant; European energy threat channel</w:t>
            </w:r>
          </w:p>
        </w:tc>
      </w:tr>
    </w:tbl>
    <w:p>
      <w:pPr>
        <w:spacing w:after="120" w:before="40"/>
        <w:jc w:val="center"/>
      </w:pPr>
      <w:r>
        <w:rPr>
          <w:rFonts w:ascii="Arial" w:cs="Arial" w:eastAsia="Arial" w:hAnsi="Arial"/>
          <w:i/>
          <w:iCs/>
          <w:color w:val="595959"/>
          <w:sz w:val="18"/>
          <w:szCs w:val="18"/>
        </w:rPr>
        <w:t xml:space="preserve">Parameters from profile conditional least squares estimation. Shr R1/R2 = share of observations in each regime. Dur R2 = average duration of Regime 2 in months. Significance: ***p&lt;0.01, **p&lt;0.05, *p&lt;0.10. Source: Updated CoTAR analysis output, January 2000 – March 2026.</w:t>
      </w:r>
    </w:p>
    <w:p>
      <w:pPr>
        <w:spacing w:after="20" w:before="20"/>
      </w:pPr>
      <w:r>
        <w:t xml:space="preserve"/>
      </w:r>
    </w:p>
    <w:p>
      <w:pPr>
        <w:pStyle w:val="Heading2"/>
        <w:spacing w:after="120" w:before="240"/>
      </w:pPr>
      <w:r>
        <w:rPr>
          <w:rFonts w:ascii="Arial" w:cs="Arial" w:eastAsia="Arial" w:hAnsi="Arial"/>
          <w:b/>
          <w:bCs/>
          <w:color w:val="2E75B6"/>
          <w:sz w:val="26"/>
          <w:szCs w:val="26"/>
        </w:rPr>
        <w:t xml:space="preserve">B.5.1 WTI Crude Oil Regime Contrast</w:t>
      </w:r>
    </w:p>
    <w:p>
      <w:pPr>
        <w:spacing w:after="60" w:before="60"/>
        <w:jc w:val="both"/>
      </w:pPr>
      <w:r>
        <w:rPr>
          <w:rFonts w:ascii="Arial" w:cs="Arial" w:eastAsia="Arial" w:hAnsi="Arial"/>
          <w:sz w:val="22"/>
          <w:szCs w:val="22"/>
        </w:rPr>
        <w:t xml:space="preserve">WTI Oil under GPRACT (d=3, m=12, c=0.667) reveals structurally distinct AR dynamics. Regime 1 (low GPRACT, 64.6% of observations): near-zero first-lag AR persistence (φ₁,₁ = 0.023), significant second lag (φ₁,₂ = 0.160**), average duration 3.98 months. Regime 2 (high GPRACT, 35.4% of observations): meaningful first-lag AR persistence (φ₂,₁ = 0.238**), significant negative second lag (φ₂,₂ = −0.191***), shorter average duration of 2.18 months. The low-GPRACT regime is substantially stickier: once geopolitical actions subside, calm persists; high-action episodes are shorter-lived but more dynamically distinct. Under GPRTHREAT, the high-threat regime accounts for 84.1% of observations, reflecting that the post-2014 period is predominantly classified as high-threat using the rolling threshold.</w:t>
      </w:r>
    </w:p>
    <w:p>
      <w:pPr>
        <w:pStyle w:val="Heading2"/>
        <w:spacing w:after="120" w:before="240"/>
      </w:pPr>
      <w:r>
        <w:rPr>
          <w:rFonts w:ascii="Arial" w:cs="Arial" w:eastAsia="Arial" w:hAnsi="Arial"/>
          <w:b/>
          <w:bCs/>
          <w:color w:val="2E75B6"/>
          <w:sz w:val="26"/>
          <w:szCs w:val="26"/>
        </w:rPr>
        <w:t xml:space="preserve">B.5.2 Zinc Regime Contrast Under Composite GPR</w:t>
      </w:r>
    </w:p>
    <w:p>
      <w:pPr>
        <w:spacing w:after="60" w:before="60"/>
        <w:jc w:val="both"/>
      </w:pPr>
      <w:r>
        <w:rPr>
          <w:rFonts w:ascii="Arial" w:cs="Arial" w:eastAsia="Arial" w:hAnsi="Arial"/>
          <w:sz w:val="22"/>
          <w:szCs w:val="22"/>
        </w:rPr>
        <w:t xml:space="preserve">Zinc under composite GPR (d=2, m=12, c=0.75) shows the study's most economically dramatic regime contrast. Regime 1 (low GPR, 68.9% of observations, average duration 4.3 months): α₁ = −5.286***, near-zero AR persistence. Regime 2 (high GPR, 31.1% of observations, average duration 2.0 months): α₂ = −9.012***, with φ₂,₁ = −0.159* indicating significant negative AR persistence. The intercept difference of −3.73 log-units represents a dramatically elevated conditional mean log-RV in the high-GPR regime, consistent with Zinc's deep sensitivity to Chinese manufacturing disruptions triggered by geopolitical shocks. The 2-month delay (d=2) aligns with the empirical transmission lag from GPR shock to PMI revision to zinc inventory adjustment to spot volatility spike.</w:t>
      </w:r>
    </w:p>
    <w:p>
      <w:pPr>
        <w:pStyle w:val="Heading1"/>
        <w:spacing w:after="180" w:before="360"/>
      </w:pPr>
      <w:r>
        <w:rPr>
          <w:rFonts w:ascii="Arial" w:cs="Arial" w:eastAsia="Arial" w:hAnsi="Arial"/>
          <w:b/>
          <w:bCs/>
          <w:color w:val="1F3864"/>
          <w:sz w:val="32"/>
          <w:szCs w:val="32"/>
        </w:rPr>
        <w:t xml:space="preserve">B.6 Out-of-Sample Forecast Evaluation</w:t>
      </w:r>
    </w:p>
    <w:p>
      <w:pPr>
        <w:spacing w:after="60" w:before="60"/>
        <w:jc w:val="both"/>
      </w:pPr>
      <w:r>
        <w:rPr>
          <w:rFonts w:ascii="Arial" w:cs="Arial" w:eastAsia="Arial" w:hAnsi="Arial"/>
          <w:sz w:val="22"/>
          <w:szCs w:val="22"/>
        </w:rPr>
        <w:t xml:space="preserve">The rolling-window out-of-sample analysis (training window n = floor(0.8×N), T = 49–63 forecast observations) provides the most stringent test of model value. The evaluation window covers approximately 2015–2026 and includes the Trump election, COVID-19 pandemic, Russia–Ukraine war, and the elevated GPR episodes of 2025–2026 — stress-testing threshold stability across multiple geopolitical regimes.</w:t>
      </w:r>
    </w:p>
    <w:p>
      <w:pPr>
        <w:pStyle w:val="Heading2"/>
        <w:spacing w:after="120" w:before="240"/>
      </w:pPr>
      <w:r>
        <w:rPr>
          <w:rFonts w:ascii="Arial" w:cs="Arial" w:eastAsia="Arial" w:hAnsi="Arial"/>
          <w:b/>
          <w:bCs/>
          <w:color w:val="2E75B6"/>
          <w:sz w:val="26"/>
          <w:szCs w:val="26"/>
        </w:rPr>
        <w:t xml:space="preserve">B.6.1 RMSE Comparison — All 18 Commodities</w:t>
      </w:r>
    </w:p>
    <w:p>
      <w:pPr>
        <w:spacing w:after="60" w:before="60"/>
        <w:jc w:val="both"/>
      </w:pPr>
      <w:r>
        <w:rPr>
          <w:rFonts w:ascii="Arial" w:cs="Arial" w:eastAsia="Arial" w:hAnsi="Arial"/>
          <w:sz w:val="22"/>
          <w:szCs w:val="22"/>
        </w:rPr>
        <w:t xml:space="preserve">Table B.3 presents the full rolling-window RMSE comparison across all models (Constant, AR, TAR, and CoTAR) for all three GPR variants and all 18 commodities. Four key patterns emerge: (1) the constant-only model is uniformly dominated by AR, confirming autoregressive dynamics carry persistent predictive content; (2) threshold models improve over AR for some but not all commodities, with heterogeneous gains; (3) TAR and CoTAR often produce similar RMSE, with CoTAR neither consistently better nor worse; (4) GPRACT produces the greatest number of cases where threshold models underperform the linear AR baseline, despite generating the strongest in-sample threshold signals.</w:t>
      </w:r>
    </w:p>
    <w:p>
      <w:pPr>
        <w:spacing w:after="20" w:before="20"/>
      </w:pPr>
      <w:r>
        <w:t xml:space="preserve"/>
      </w:r>
    </w:p>
    <w:p>
      <w:pPr>
        <w:spacing w:after="60" w:before="60"/>
      </w:pPr>
      <w:r>
        <w:rPr>
          <w:rFonts w:ascii="Arial" w:cs="Arial" w:eastAsia="Arial" w:hAnsi="Arial"/>
          <w:b/>
          <w:bCs/>
          <w:sz w:val="20"/>
          <w:szCs w:val="20"/>
        </w:rPr>
        <w:t xml:space="preserve">Table B.3: Out-of-Sample RMSE — All Models, All Commodities, All GPR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00"/>
        <w:gridCol w:w="700"/>
        <w:gridCol w:w="700"/>
        <w:gridCol w:w="700"/>
        <w:gridCol w:w="700"/>
        <w:gridCol w:w="700"/>
        <w:gridCol w:w="700"/>
        <w:gridCol w:w="70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Commodity</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
GPR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CoTAR
GPR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
THR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CoTAR
THR</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
ACT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CoTAR
ACT</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Best</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Gold</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1.825</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1.829</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1.857</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1.849</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1.880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1.832</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1.838</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1.866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CoTAR-THR</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Silver</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1.796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1.905</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1.893</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1.841</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1.948</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1.915</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1.884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1.833</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CoTAR-ACT</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Platinum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1.881</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1.876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1.914</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1.846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1.937</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1.920</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1.946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Wheat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2.455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2.465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2.464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2.457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2.517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2.481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2.512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2.593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CoTAR-GPR</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Sweetcorn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2.200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2.210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2.292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2.233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2.157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2.317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2.285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2.285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TAR-THR</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Soybean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1.729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1.709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1.771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1.872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1.716</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1.776</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1.768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1.798</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Cotton</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1.701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1.669</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1.673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1.724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1.700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1.665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1.671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1.742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Cocoa</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2.247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2.185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2.224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2.251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2.171</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2.217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2.243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2.327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Coffee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2.563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2.584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2.614</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2.605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2.590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2.607</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2.620</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2.625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AR(Const)</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Copper</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1.965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1.990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2.027</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2.025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2.062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2.055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1.999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2.001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Const</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Zinc</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2.090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2.101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2.080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2.061</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2.099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2.083</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2.140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2.179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CoTAR-GPR</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Nickel</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2.604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2.620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2.668</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2.654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2.622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2.654</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2.655</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2.702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Const</w:t>
            </w:r>
          </w:p>
        </w:tc>
      </w:tr>
      <w:tr>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Lead</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1.859</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1.848</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1.956</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1.880</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1.882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1.872</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1.898</w:t>
            </w:r>
          </w:p>
        </w:tc>
        <w:tc>
          <w:tcPr>
            <w:gridSpan w:val="1"/>
            <w:tcBorders>
              <w:top w:val="single" w:color="CCCCCC" w:sz="1"/>
              <w:left w:val="single" w:color="CCCCCC" w:sz="1"/>
              <w:bottom w:val="single" w:color="CCCCCC" w:sz="1"/>
              <w:right w:val="single" w:color="CCCCCC" w:sz="1"/>
            </w:tcBorders>
            <w:shd w:fill="FEF9EC"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WTI Crude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1.935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1.905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1.884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1.965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CoTAR-GPR</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Brent Crude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1.940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1.984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2.062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1.982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1.966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1.985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2.029</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Natural Gas</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2.317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2.311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2.387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2.406</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2.300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2.354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2.353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2.322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AR</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1.902</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1.980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2.061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1.913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2.068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1.861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1.994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TAR-ACT</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2.415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2.433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2.451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2.427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2.468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2.560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2.478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2.505</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CoTAR-GPR</w:t>
            </w:r>
          </w:p>
        </w:tc>
      </w:tr>
    </w:tbl>
    <w:p>
      <w:pPr>
        <w:spacing w:after="120" w:before="40"/>
        <w:jc w:val="center"/>
      </w:pPr>
      <w:r>
        <w:rPr>
          <w:rFonts w:ascii="Arial" w:cs="Arial" w:eastAsia="Arial" w:hAnsi="Arial"/>
          <w:i/>
          <w:iCs/>
          <w:color w:val="595959"/>
          <w:sz w:val="18"/>
          <w:szCs w:val="18"/>
        </w:rPr>
        <w:t xml:space="preserve">Format: TAR and CoTAR RMSE reported separately for GPR, GPRTHREAT (THR), and GPRACT (ACT). Bold Best = lowest RMSE model across all specifications. Rolling window: 80% training. T = 49–63 forecast observations. Source: Updated CoTAR analysis output.</w:t>
      </w:r>
    </w:p>
    <w:p>
      <w:pPr>
        <w:spacing w:after="20" w:before="20"/>
      </w:pPr>
      <w:r>
        <w:t xml:space="preserve"/>
      </w:r>
    </w:p>
    <w:p>
      <w:pPr>
        <w:pStyle w:val="Heading2"/>
        <w:spacing w:after="120" w:before="240"/>
      </w:pPr>
      <w:r>
        <w:rPr>
          <w:rFonts w:ascii="Arial" w:cs="Arial" w:eastAsia="Arial" w:hAnsi="Arial"/>
          <w:b/>
          <w:bCs/>
          <w:color w:val="2E75B6"/>
          <w:sz w:val="26"/>
          <w:szCs w:val="26"/>
        </w:rPr>
        <w:t xml:space="preserve">B.6.2 Diebold–Mariano Tests: TAR vs. CoTAR</w:t>
      </w:r>
    </w:p>
    <w:p>
      <w:pPr>
        <w:spacing w:after="60" w:before="60"/>
        <w:jc w:val="both"/>
      </w:pPr>
      <w:r>
        <w:rPr>
          <w:rFonts w:ascii="Arial" w:cs="Arial" w:eastAsia="Arial" w:hAnsi="Arial"/>
          <w:sz w:val="22"/>
          <w:szCs w:val="22"/>
        </w:rPr>
        <w:t xml:space="preserve">Table B.4 summarises the statistically significant Diebold–Mariano test results comparing TAR and CoTAR out-of-sample accuracy. The DM tests reveal very few statistically significant differences between TAR and CoTAR OOS accuracy, consistent with Motegi and Hamori (2025). Where significant differences exist, TAR tends to outperform CoTAR — suggesting that for certain commodity-GPR combinations, the simplicity of a fixed threshold has OOS advantages over CoTAR's adaptive mechanism.</w:t>
      </w:r>
    </w:p>
    <w:p>
      <w:pPr>
        <w:spacing w:after="20" w:before="20"/>
      </w:pPr>
      <w:r>
        <w:t xml:space="preserve"/>
      </w:r>
    </w:p>
    <w:p>
      <w:pPr>
        <w:spacing w:after="60" w:before="60"/>
      </w:pPr>
      <w:r>
        <w:rPr>
          <w:rFonts w:ascii="Arial" w:cs="Arial" w:eastAsia="Arial" w:hAnsi="Arial"/>
          <w:b/>
          <w:bCs/>
          <w:sz w:val="20"/>
          <w:szCs w:val="20"/>
        </w:rPr>
        <w:t xml:space="preserve">Table B.4: Diebold–Mariano Test Results — Significant TAR vs. CoTAR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700"/>
        <w:gridCol w:w="900"/>
        <w:gridCol w:w="900"/>
        <w:gridCol w:w="900"/>
        <w:gridCol w:w="145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Commodity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 Type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RMSE TAR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RMSE CoTAR</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RMSE AR</w:t>
            </w:r>
          </w:p>
        </w:tc>
        <w:tc>
          <w:tcPr>
            <w:tcW w:type="dxa" w:w="14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r>
      <w:tr>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Sweetcorn</w:t>
            </w:r>
          </w:p>
        </w:tc>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2.157</w:t>
            </w:r>
          </w:p>
        </w:tc>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2.317</w:t>
            </w:r>
          </w:p>
        </w:tc>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2.210</w:t>
            </w:r>
          </w:p>
        </w:tc>
        <w:tc>
          <w:tcPr>
            <w:gridSpan w:val="1"/>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TAR significantly outperforms CoTAR (fixed threshold preferred)</w:t>
            </w:r>
          </w:p>
        </w:tc>
      </w:tr>
      <w:tr>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Wheat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2.512</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2.593</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2.465</w:t>
            </w:r>
          </w:p>
        </w:tc>
        <w:tc>
          <w:tcPr>
            <w:gridSpan w:val="1"/>
            <w:tcBorders>
              <w:top w:val="single" w:color="CCCCCC" w:sz="1"/>
              <w:left w:val="single" w:color="CCCCCC" w:sz="1"/>
              <w:bottom w:val="single" w:color="CCCCCC" w:sz="1"/>
              <w:right w:val="single" w:color="CCCCCC" w:sz="1"/>
            </w:tcBorders>
            <w:shd w:fill="F0F7EC"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TAR &gt; CoTAR; both underperform AR (no useful GPRACT signal for wheat)</w:t>
            </w:r>
          </w:p>
        </w:tc>
      </w:tr>
      <w:tr>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Platinum</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1.846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1.937</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1.876</w:t>
            </w:r>
          </w:p>
        </w:tc>
        <w:tc>
          <w:tcPr>
            <w:gridSpan w:val="1"/>
            <w:tcBorders>
              <w:top w:val="single" w:color="CCCCCC" w:sz="1"/>
              <w:left w:val="single" w:color="CCCCCC" w:sz="1"/>
              <w:bottom w:val="single" w:color="CCCCCC" w:sz="1"/>
              <w:right w:val="single" w:color="CCCCCC" w:sz="1"/>
            </w:tcBorders>
            <w:shd w:fill="E8F0F7"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TAR marginally better; near-AR performance for both models</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RBOB Gasoline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GPRACT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1.861</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1.994</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1.897</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TAR significantly outperforms CoTAR; CoTAR worse than AR</w:t>
            </w:r>
          </w:p>
        </w:tc>
      </w:tr>
      <w:tr>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Heating Oil</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GPRTHREAT</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bCs/>
                <w:sz w:val="18"/>
                <w:szCs w:val="18"/>
              </w:rPr>
              <w:t xml:space="preserve">*</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2.468</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2.560</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2.433</w:t>
            </w:r>
          </w:p>
        </w:tc>
        <w:tc>
          <w:tcPr>
            <w:gridSpan w:val="1"/>
            <w:tcBorders>
              <w:top w:val="single" w:color="CCCCCC" w:sz="1"/>
              <w:left w:val="single" w:color="CCCCCC" w:sz="1"/>
              <w:bottom w:val="single" w:color="CCCCCC" w:sz="1"/>
              <w:right w:val="single" w:color="CCCCCC" w:sz="1"/>
            </w:tcBorders>
            <w:shd w:fill="FDF0F0"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TAR marginally outperforms; both underperform AR</w:t>
            </w:r>
          </w:p>
        </w:tc>
      </w:tr>
    </w:tbl>
    <w:p>
      <w:pPr>
        <w:spacing w:after="120" w:before="40"/>
        <w:jc w:val="center"/>
      </w:pPr>
      <w:r>
        <w:rPr>
          <w:rFonts w:ascii="Arial" w:cs="Arial" w:eastAsia="Arial" w:hAnsi="Arial"/>
          <w:i/>
          <w:iCs/>
          <w:color w:val="595959"/>
          <w:sz w:val="18"/>
          <w:szCs w:val="18"/>
        </w:rPr>
        <w:t xml:space="preserve">DM test: H₀: MSE_TAR = MSE_CoTAR. H₁^TAR: TAR outperforms CoTAR. Loss function: d(t) = MSE_TAR − MSE_CoTAR. Small-sample correction per Harvey et al. (1997). Source: Updated CoTAR analysis output.</w:t>
      </w:r>
    </w:p>
    <w:p>
      <w:pPr>
        <w:spacing w:after="20" w:before="20"/>
      </w:pPr>
      <w:r>
        <w:t xml:space="preserve"/>
      </w:r>
    </w:p>
    <w:p>
      <w:pPr>
        <w:spacing w:after="60" w:before="60"/>
        <w:jc w:val="both"/>
      </w:pPr>
      <w:r>
        <w:rPr>
          <w:rFonts w:ascii="Arial" w:cs="Arial" w:eastAsia="Arial" w:hAnsi="Arial"/>
          <w:sz w:val="22"/>
          <w:szCs w:val="22"/>
        </w:rPr>
        <w:t xml:space="preserve">The significant exceptions are: Sweetcorn under GPRTHREAT (p = 0.034**, TAR outperforms CoTAR); Wheat under GPRACT (p = 0.019**, TAR outperforms — both models underperform AR); Platinum under GPRTHREAT (p = 0.069*, marginal TAR advantage); RBOB Gasoline under GPRACT (p = 0.007***, the only energy significant result — TAR substantially outperforms CoTAR, which is also worse than AR); and Heating Oil under GPRTHREAT (p = 0.074*, marginal TAR advantage with both models underperforming AR).</w:t>
      </w:r>
    </w:p>
    <w:p>
      <w:pPr>
        <w:spacing w:after="60" w:before="60"/>
        <w:jc w:val="both"/>
      </w:pPr>
      <w:r>
        <w:rPr>
          <w:rFonts w:ascii="Arial" w:cs="Arial" w:eastAsia="Arial" w:hAnsi="Arial"/>
          <w:sz w:val="22"/>
          <w:szCs w:val="22"/>
        </w:rPr>
        <w:t xml:space="preserve">Meta-finding: GPRACT produces the strongest in-sample threshold effects (WTI Oil, Platinum, Cotton) but also the most frequent OOS underperformance vs. AR. GPRTHREAT delivers more stable OOS results. The practical implication: use GPRTHREAT-based CoTAR regime signals for rolling-window investment strategies; reserve GPRACT-based analysis for scenario analysis and stress-testing.</w:t>
      </w:r>
    </w:p>
    <w:p>
      <w:pPr>
        <w:pStyle w:val="Heading1"/>
        <w:spacing w:after="180" w:before="360"/>
      </w:pPr>
      <w:r>
        <w:rPr>
          <w:rFonts w:ascii="Arial" w:cs="Arial" w:eastAsia="Arial" w:hAnsi="Arial"/>
          <w:b/>
          <w:bCs/>
          <w:color w:val="1F3864"/>
          <w:sz w:val="32"/>
          <w:szCs w:val="32"/>
        </w:rPr>
        <w:t xml:space="preserve">B.7 Commodity Group Analysis</w:t>
      </w:r>
    </w:p>
    <w:p>
      <w:pPr>
        <w:pStyle w:val="Heading2"/>
        <w:spacing w:after="120" w:before="240"/>
      </w:pPr>
      <w:r>
        <w:rPr>
          <w:rFonts w:ascii="Arial" w:cs="Arial" w:eastAsia="Arial" w:hAnsi="Arial"/>
          <w:b/>
          <w:bCs/>
          <w:color w:val="2E75B6"/>
          <w:sz w:val="26"/>
          <w:szCs w:val="26"/>
        </w:rPr>
        <w:t xml:space="preserve">B.7.1 Energy Commodities</w:t>
      </w:r>
    </w:p>
    <w:p>
      <w:pPr>
        <w:spacing w:after="60" w:before="60"/>
        <w:jc w:val="both"/>
      </w:pPr>
      <w:r>
        <w:rPr>
          <w:rFonts w:ascii="Arial" w:cs="Arial" w:eastAsia="Arial" w:hAnsi="Arial"/>
          <w:sz w:val="22"/>
          <w:szCs w:val="22"/>
        </w:rPr>
        <w:t xml:space="preserve">Among the five energy commodities, WTI Oil delivers the study's most consistent cross-framework findings: the highest sup-Wald statistic in the entire analysis under GPRACT (W = 31.65, p = 0.000***) and a highly significant result under GPRTHREAT (p = 0.010**). The GPRACT threshold parameters (d=3, m=12, c=0.667) imply that WTI's volatility regime switches when current geopolitical actions exceed the 8th-largest reading of the past 12 months. Both parameters correctly identify the 2003 Iraq War, 2011 Arab Spring, 2019 Iran sanctions, and 2022 Russia–Ukraine escalation as high-GPR Regime 2 periods. Despite strong in-sample threshold structure, TAR-based OOS performance is similar to CoTAR for WTI — the simpler fixed threshold already captures the main regime division.</w:t>
      </w:r>
    </w:p>
    <w:p>
      <w:pPr>
        <w:spacing w:after="60" w:before="60"/>
        <w:jc w:val="both"/>
      </w:pPr>
      <w:r>
        <w:rPr>
          <w:rFonts w:ascii="Arial" w:cs="Arial" w:eastAsia="Arial" w:hAnsi="Arial"/>
          <w:sz w:val="22"/>
          <w:szCs w:val="22"/>
        </w:rPr>
        <w:t xml:space="preserve">Brent Crude shows marginal GPRTHREAT threshold evidence (p = 0.069*) and near-unit-root EGARCH persistence under threat escalation — European supply threat channel dominates. The high-threat regime accounts for 84% of Brent observations under the rolling GPRTHREAT threshold, reflecting the sustained elevated geopolitical environment of 2014–2026. Natural Gas shows no statistically significant threshold effects, though CoTAR achieves its best OOS result for the energy group under GPRACT (RMSE_CoTAR = 2.322, competitive with AR at 2.311). RBOB Gasoline and Heating Oil exhibit consistent positive in-sample ΔR² improvements (5.8–7.9%) without significant threshold tests, with marginal ave-Wald evidence for RBOB under GPRTHREAT (p = 0.049*).</w:t>
      </w:r>
    </w:p>
    <w:p>
      <w:pPr>
        <w:pStyle w:val="Heading2"/>
        <w:spacing w:after="120" w:before="240"/>
      </w:pPr>
      <w:r>
        <w:rPr>
          <w:rFonts w:ascii="Arial" w:cs="Arial" w:eastAsia="Arial" w:hAnsi="Arial"/>
          <w:b/>
          <w:bCs/>
          <w:color w:val="2E75B6"/>
          <w:sz w:val="26"/>
          <w:szCs w:val="26"/>
        </w:rPr>
        <w:t xml:space="preserve">B.7.2 Precious Metals</w:t>
      </w:r>
    </w:p>
    <w:p>
      <w:pPr>
        <w:spacing w:after="60" w:before="60"/>
        <w:jc w:val="both"/>
      </w:pPr>
      <w:r>
        <w:rPr>
          <w:rFonts w:ascii="Arial" w:cs="Arial" w:eastAsia="Arial" w:hAnsi="Arial"/>
          <w:sz w:val="22"/>
          <w:szCs w:val="22"/>
        </w:rPr>
        <w:t xml:space="preserve">Gold and Silver demonstrate the clearest safe-haven mechanism in CoTAR: no significant threshold effects under any GPR type. This is a theoretically consistent finding — safe-haven dynamics manifest as a level shift in conditional variance (captured by EGARCH's negative δ), rather than a structural change in AR dynamics that CoTAR would detect. Platinum is the exception: GPRACT produces the study's third-strongest threshold effect (p = 0.006***), reflecting its dual identity as a financial safe-haven and critical industrial input for automotive catalysts and fuel cells. When geopolitical actions disrupt mining zones in South Africa (world's leading platinum producer), both financial and physical channels activate simultaneously.</w:t>
      </w:r>
    </w:p>
    <w:p>
      <w:pPr>
        <w:pStyle w:val="Heading2"/>
        <w:spacing w:after="120" w:before="240"/>
      </w:pPr>
      <w:r>
        <w:rPr>
          <w:rFonts w:ascii="Arial" w:cs="Arial" w:eastAsia="Arial" w:hAnsi="Arial"/>
          <w:b/>
          <w:bCs/>
          <w:color w:val="2E75B6"/>
          <w:sz w:val="26"/>
          <w:szCs w:val="26"/>
        </w:rPr>
        <w:t xml:space="preserve">B.7.3 Agricultural Commodities</w:t>
      </w:r>
    </w:p>
    <w:p>
      <w:pPr>
        <w:spacing w:after="60" w:before="60"/>
        <w:jc w:val="both"/>
      </w:pPr>
      <w:r>
        <w:rPr>
          <w:rFonts w:ascii="Arial" w:cs="Arial" w:eastAsia="Arial" w:hAnsi="Arial"/>
          <w:sz w:val="22"/>
          <w:szCs w:val="22"/>
        </w:rPr>
        <w:t xml:space="preserve">Agricultural commodities reveal the clearest empirical distinction between GPR sub-indices. Soybean is significant only under GPRTHREAT (p = 0.046**), driven by US–China bilateral tension — a threat-level phenomenon. Cotton is significant only under GPRACT (p = 0.029**), reflecting its exposure to realised trade restrictions and shipping disruptions. Wheat's marginal significance under composite GPR (p = 0.078*) but not either sub-index reflects dual exposure: conflict threats (Ukraine's wheat export role) and actual actions (Black Sea port blockades) jointly contribute to the regime signal but neither alone achieves significance.</w:t>
      </w:r>
    </w:p>
    <w:p>
      <w:pPr>
        <w:pStyle w:val="Heading2"/>
        <w:spacing w:after="120" w:before="240"/>
      </w:pPr>
      <w:r>
        <w:rPr>
          <w:rFonts w:ascii="Arial" w:cs="Arial" w:eastAsia="Arial" w:hAnsi="Arial"/>
          <w:b/>
          <w:bCs/>
          <w:color w:val="2E75B6"/>
          <w:sz w:val="26"/>
          <w:szCs w:val="26"/>
        </w:rPr>
        <w:t xml:space="preserve">B.7.4 Industrial Metals</w:t>
      </w:r>
    </w:p>
    <w:p>
      <w:pPr>
        <w:spacing w:after="60" w:before="60"/>
        <w:jc w:val="both"/>
      </w:pPr>
      <w:r>
        <w:rPr>
          <w:rFonts w:ascii="Arial" w:cs="Arial" w:eastAsia="Arial" w:hAnsi="Arial"/>
          <w:sz w:val="22"/>
          <w:szCs w:val="22"/>
        </w:rPr>
        <w:t xml:space="preserve">Zinc stands out as the industrial metal with the most consistent and statistically significant threshold effects: p = 0.001*** under composite GPR (the study's strongest non-energy finding), with both Wald and LM test families confirming the result. The pattern — GPR and GPRTHREAT dominant for Zinc — is economically coherent: Zinc's demand is driven by Chinese construction and manufacturing, which is disrupted by geopolitical uncertainty and threat escalation affecting trade sentiment, rather than by actual conflict actions that most strongly affect energy and mining-focused commodities. Copper, Nickel, and Lead do not achieve significant Hansen threshold effects despite showing some in-sample ΔR² improvement.</w:t>
      </w:r>
    </w:p>
    <w:p>
      <w:pPr>
        <w:pStyle w:val="Heading2"/>
        <w:spacing w:after="120" w:before="240"/>
      </w:pPr>
      <w:r>
        <w:rPr>
          <w:rFonts w:ascii="Arial" w:cs="Arial" w:eastAsia="Arial" w:hAnsi="Arial"/>
          <w:b/>
          <w:bCs/>
          <w:color w:val="2E75B6"/>
          <w:sz w:val="26"/>
          <w:szCs w:val="26"/>
        </w:rPr>
        <w:t xml:space="preserve">B.7.5 TAR vs. CoTAR Out-of-Sample Performance: Commodity-by-Commodity Comparison (to March 2026)</w:t>
      </w:r>
    </w:p>
    <w:p>
      <w:pPr>
        <w:spacing w:after="60" w:before="60"/>
        <w:jc w:val="both"/>
      </w:pPr>
      <w:r>
        <w:rPr>
          <w:rFonts w:ascii="Arial" w:cs="Arial" w:eastAsia="Arial" w:hAnsi="Arial"/>
          <w:sz w:val="22"/>
          <w:szCs w:val="22"/>
        </w:rPr>
        <w:t xml:space="preserve">Drawing on the full rolling-window RMSE results in Table B.3 and the Diebold–Mariano tests in Table B.4, this subsection maps, commodity by commodity, which model — TAR or CoTAR — delivers superior out-of-sample forecast accuracy through the March 2026 evaluation horizon. The comparison is structured across three GPR variants (composite GPR, GPRTHREAT, GPRACT) and organised by commodity group. A commodity is classified as “TAR-dominant” when TAR achieves lower RMSE across the majority of GPR variants, or when a statistically significant DM test confirms TAR superiority. A commodity is classified as “CoTAR-dominant” when CoTAR delivers lower RMSE across the majority of GPR variants without a statistically significant DM test in the opposite direction. Cases where both models broadly match AR performance are classified as “neither dominant”.</w:t>
      </w:r>
    </w:p>
    <w:p>
      <w:pPr>
        <w:pStyle w:val="Heading3"/>
        <w:spacing w:after="80" w:before="160"/>
      </w:pPr>
      <w:r>
        <w:rPr>
          <w:rFonts w:ascii="Arial" w:cs="Arial" w:eastAsia="Arial" w:hAnsi="Arial"/>
          <w:b/>
          <w:bCs/>
          <w:color w:val="404040"/>
          <w:sz w:val="24"/>
          <w:szCs w:val="24"/>
        </w:rPr>
        <w:t xml:space="preserve">Commodities Where TAR Outperforms CoTAR</w:t>
      </w:r>
    </w:p>
    <w:p>
      <w:pPr>
        <w:spacing w:after="60" w:before="60"/>
        <w:jc w:val="both"/>
      </w:pPr>
      <w:r>
        <w:rPr>
          <w:rFonts w:ascii="Arial" w:cs="Arial" w:eastAsia="Arial" w:hAnsi="Arial"/>
          <w:sz w:val="22"/>
          <w:szCs w:val="22"/>
        </w:rPr>
        <w:t xml:space="preserve">Five commodities show a clear and in several cases statistically confirmed advantage for the fixed-threshold TAR model over the adaptive CoTAR through March 2026.</w:t>
      </w:r>
    </w:p>
    <w:p>
      <w:pPr>
        <w:spacing w:after="60" w:before="60"/>
        <w:jc w:val="both"/>
      </w:pPr>
      <w:r>
        <w:rPr>
          <w:rFonts w:ascii="Arial" w:cs="Arial" w:eastAsia="Arial" w:hAnsi="Arial"/>
          <w:b/>
          <w:bCs/>
          <w:sz w:val="22"/>
          <w:szCs w:val="22"/>
        </w:rPr>
        <w:t xml:space="preserve">Sweetcorn</w:t>
      </w:r>
      <w:r>
        <w:rPr>
          <w:rFonts w:ascii="Arial" w:cs="Arial" w:eastAsia="Arial" w:hAnsi="Arial"/>
          <w:sz w:val="22"/>
          <w:szCs w:val="22"/>
        </w:rPr>
        <w:t xml:space="preserve"> is the most decisive TAR-dominant commodity in the analysis. Under GPRTHREAT, TAR achieves RMSE of 2.157 versus CoTAR’s 2.317 — a margin confirmed as statistically significant by the Diebold–Mariano test (p = 0.034**). Crucially, TAR-GPRTHREAT also beats the linear AR benchmark (RMSE 2.210), making it the best overall model for Sweetcorn under that GPR variant. The adaptive rolling-quantile boundary of CoTAR appears to over-fit to recent GPR context for Sweetcorn, whose volatility dynamics are governed more by seasonal supply and weather factors than by time-varying geopolitical regime shifts. A fixed partition of GPR space preserves the regime signal without the noise introduced by monthly threshold recalibration.</w:t>
      </w:r>
    </w:p>
    <w:p>
      <w:pPr>
        <w:spacing w:after="60" w:before="60"/>
        <w:jc w:val="both"/>
      </w:pPr>
      <w:r>
        <w:rPr>
          <w:rFonts w:ascii="Arial" w:cs="Arial" w:eastAsia="Arial" w:hAnsi="Arial"/>
          <w:b/>
          <w:bCs/>
          <w:sz w:val="22"/>
          <w:szCs w:val="22"/>
        </w:rPr>
        <w:t xml:space="preserve">RBOB Gasoline</w:t>
      </w:r>
      <w:r>
        <w:rPr>
          <w:rFonts w:ascii="Arial" w:cs="Arial" w:eastAsia="Arial" w:hAnsi="Arial"/>
          <w:sz w:val="22"/>
          <w:szCs w:val="22"/>
        </w:rPr>
        <w:t xml:space="preserve"> exhibits the sharpest and most economically consequential TAR advantage in the energy group under GPRACT. TAR achieves RMSE of 1.861 — the single lowest RMSE across all eight model-GPR combinations for this commodity — while CoTAR degrades to 1.994, actually below the linear AR baseline of 1.897. This is the only combination in the energy group where a DM test is statistically significant (p = 0.007***), confirming TAR’s dominance. The 4-month crack-spread transmission lag from crude oil geopolitical shocks to refined product prices means that GPRACT shocks arrive with a delayed and somewhat predictable structure, which a fixed TAR boundary captures without the instability introduced by CoTAR’s monthly threshold recalibration.</w:t>
      </w:r>
    </w:p>
    <w:p>
      <w:pPr>
        <w:spacing w:after="60" w:before="60"/>
        <w:jc w:val="both"/>
      </w:pPr>
      <w:r>
        <w:rPr>
          <w:rFonts w:ascii="Arial" w:cs="Arial" w:eastAsia="Arial" w:hAnsi="Arial"/>
          <w:b/>
          <w:bCs/>
          <w:sz w:val="22"/>
          <w:szCs w:val="22"/>
        </w:rPr>
        <w:t xml:space="preserve">Wheat</w:t>
      </w:r>
      <w:r>
        <w:rPr>
          <w:rFonts w:ascii="Arial" w:cs="Arial" w:eastAsia="Arial" w:hAnsi="Arial"/>
          <w:sz w:val="22"/>
          <w:szCs w:val="22"/>
        </w:rPr>
        <w:t xml:space="preserve"> shows a TAR advantage under GPRACT (TAR RMSE 2.512 vs. CoTAR 2.593; DM p = 0.019**), though both threshold models underperform the linear AR in this variant. This TAR superiority under GPRACT reflects an important substantive finding: realised geopolitical actions generate a noisy and structurally unstable signal for Wheat’s autoregressive dynamics. The DM-confirmed TAR advantage over CoTAR under GPRACT indicates that when GPRACT is used as the regime-determining variable, a fixed global quantile boundary provides a less distorted partition than a rolling recalibration that assigns ordinary export-policy actions to a “high-GPR” regime during tranquil periods. Note, however, that under composite GPR, CoTAR-GPR remains competitive (RMSE 2.457) and is the best overall model for Wheat, illustrating that the TAR vs. CoTAR verdict for Wheat is GPR-variant-dependent.</w:t>
      </w:r>
    </w:p>
    <w:p>
      <w:pPr>
        <w:spacing w:after="60" w:before="60"/>
        <w:jc w:val="both"/>
      </w:pPr>
      <w:r>
        <w:rPr>
          <w:rFonts w:ascii="Arial" w:cs="Arial" w:eastAsia="Arial" w:hAnsi="Arial"/>
          <w:b/>
          <w:bCs/>
          <w:sz w:val="22"/>
          <w:szCs w:val="22"/>
        </w:rPr>
        <w:t xml:space="preserve">Platinum</w:t>
      </w:r>
      <w:r>
        <w:rPr>
          <w:rFonts w:ascii="Arial" w:cs="Arial" w:eastAsia="Arial" w:hAnsi="Arial"/>
          <w:sz w:val="22"/>
          <w:szCs w:val="22"/>
        </w:rPr>
        <w:t xml:space="preserve"> shows a marginal but DM-confirmed TAR advantage under GPRTHREAT (TAR 1.846 vs. CoTAR 1.937; p = 0.069*). Given that Platinum’s strongest in-sample threshold effect is under GPRACT (Hansen p = 0.006***), the OOS reversal under GPRTHREAT highlights a dissociation between in-sample regime-identification strength and out-of-sample forecast value: the GPRTHREAT boundary that CoTAR adapts monthly does not stabilise Platinum’s OOS dynamics, while a fixed GPRTHREAT partition preserves a modest structural signal. For GPRACT, both TAR and CoTAR underperform AR for Platinum OOS, underscoring that the GPRACT-driven in-sample regime structure does not transfer reliably to the forecast horizon.</w:t>
      </w:r>
    </w:p>
    <w:p>
      <w:pPr>
        <w:spacing w:after="60" w:before="60"/>
        <w:jc w:val="both"/>
      </w:pPr>
      <w:r>
        <w:rPr>
          <w:rFonts w:ascii="Arial" w:cs="Arial" w:eastAsia="Arial" w:hAnsi="Arial"/>
          <w:b/>
          <w:bCs/>
          <w:sz w:val="22"/>
          <w:szCs w:val="22"/>
        </w:rPr>
        <w:t xml:space="preserve">Heating Oil</w:t>
      </w:r>
      <w:r>
        <w:rPr>
          <w:rFonts w:ascii="Arial" w:cs="Arial" w:eastAsia="Arial" w:hAnsi="Arial"/>
          <w:sz w:val="22"/>
          <w:szCs w:val="22"/>
        </w:rPr>
        <w:t xml:space="preserve"> presents a marginal DM-confirmed TAR advantage under GPRTHREAT (TAR 2.468 vs. CoTAR 2.560; p = 0.074*), with both models underperforming AR. Under composite GPR, however, CoTAR-GPR (RMSE 2.427) outperforms TAR-GPR (2.451) and closely approaches the AR benchmark (2.433), making CoTAR the preferred model for Heating Oil under composite GPR. The TAR edge is therefore confined to the GPRTHREAT variant, where the adaptive monthly recalibration of the threshold introduces excess instability into a commodity whose volatility dynamics are already dominated by dual exposure to crude oil and natural gas price cycles rather than pure geopolitical regime switching.</w:t>
      </w:r>
    </w:p>
    <w:p>
      <w:pPr>
        <w:pStyle w:val="Heading3"/>
        <w:spacing w:after="80" w:before="160"/>
      </w:pPr>
      <w:r>
        <w:rPr>
          <w:rFonts w:ascii="Arial" w:cs="Arial" w:eastAsia="Arial" w:hAnsi="Arial"/>
          <w:b/>
          <w:bCs/>
          <w:color w:val="404040"/>
          <w:sz w:val="24"/>
          <w:szCs w:val="24"/>
        </w:rPr>
        <w:t xml:space="preserve">Commodities Where CoTAR Outperforms TAR</w:t>
      </w:r>
    </w:p>
    <w:p>
      <w:pPr>
        <w:spacing w:after="60" w:before="60"/>
        <w:jc w:val="both"/>
      </w:pPr>
      <w:r>
        <w:rPr>
          <w:rFonts w:ascii="Arial" w:cs="Arial" w:eastAsia="Arial" w:hAnsi="Arial"/>
          <w:sz w:val="22"/>
          <w:szCs w:val="22"/>
        </w:rPr>
        <w:t xml:space="preserve">Six commodities show CoTAR delivering lower RMSE than TAR for the majority of GPR variants, though the DM tests rarely reach conventional significance in the CoTAR-superior direction — consistent with the broader Motegi and Hamori (2025) finding that TAR and CoTAR perform on par OOS, with advantages accruing to CoTAR primarily through RMSE margins rather than formally confirmed statistical superiority.</w:t>
      </w:r>
    </w:p>
    <w:p>
      <w:pPr>
        <w:spacing w:after="60" w:before="60"/>
        <w:jc w:val="both"/>
      </w:pPr>
      <w:r>
        <w:rPr>
          <w:rFonts w:ascii="Arial" w:cs="Arial" w:eastAsia="Arial" w:hAnsi="Arial"/>
          <w:b/>
          <w:bCs/>
          <w:sz w:val="22"/>
          <w:szCs w:val="22"/>
        </w:rPr>
        <w:t xml:space="preserve">WTI Crude Oil</w:t>
      </w:r>
      <w:r>
        <w:rPr>
          <w:rFonts w:ascii="Arial" w:cs="Arial" w:eastAsia="Arial" w:hAnsi="Arial"/>
          <w:sz w:val="22"/>
          <w:szCs w:val="22"/>
        </w:rPr>
        <w:t xml:space="preserve"> is the most important CoTAR-dominant commodity and the one where the adaptive threshold model’s advantage has the clearest economic rationale. Under composite GPR, CoTAR achieves RMSE of 1.884, below both TAR-GPR (1.896) and AR (1.905), making it the best overall model for WTI. This CoTAR edge reflects the economic reality that the GPR level triggering a structural shift in WTI’s AR dynamics is not fixed across the full 26-year sample: the post-2014 era of elevated and sustained geopolitical tension means that the same GPR reading that constituted a “high-GPR” extreme in 2003 is now unremarkable. CoTAR’s rolling-percentile threshold correctly contextualises each monthly GPR observation relative to recent experience, producing more accurate regime assignments and therefore better OOS forecasts. This finding is particularly significant given that WTI carries the study’s strongest in-sample threshold signal (GPRACT sup-Wald statistic = 31.65, p = 0.000***), and it confirms that the adaptive threshold mechanism adds genuine out-of-sample value for the commodity most fundamentally shaped by geopolitical regime dynamics.</w:t>
      </w:r>
    </w:p>
    <w:p>
      <w:pPr>
        <w:spacing w:after="60" w:before="60"/>
        <w:jc w:val="both"/>
      </w:pPr>
      <w:r>
        <w:rPr>
          <w:rFonts w:ascii="Arial" w:cs="Arial" w:eastAsia="Arial" w:hAnsi="Arial"/>
          <w:b/>
          <w:bCs/>
          <w:sz w:val="22"/>
          <w:szCs w:val="22"/>
        </w:rPr>
        <w:t xml:space="preserve">Zinc</w:t>
      </w:r>
      <w:r>
        <w:rPr>
          <w:rFonts w:ascii="Arial" w:cs="Arial" w:eastAsia="Arial" w:hAnsi="Arial"/>
          <w:sz w:val="22"/>
          <w:szCs w:val="22"/>
        </w:rPr>
        <w:t xml:space="preserve"> is the clearest CoTAR-dominant commodity among industrial metals and the one with the study’s strongest non-energy in-sample threshold finding. CoTAR-GPR achieves RMSE of 2.061, below both TAR-GPR (2.080) and AR (2.101), making it the best overall model for Zinc. The CoTAR advantage here reflects Zinc’s deep sensitivity to Chinese manufacturing demand, where geopolitical conditions that feel “elevated” in one period are progressively normalised over the 2014–2026 extended high-GPR era. An adaptive threshold that tracks the recent distribution of GPR better calibrates when Chinese industrial demand is genuinely being disrupted by a new geopolitical shock versus when it is operating in a sustained high-GPR steady state. This CoTAR advantage is consistent across composite GPR and GPRTHREAT, reinforcing its robustness for Zinc.</w:t>
      </w:r>
    </w:p>
    <w:p>
      <w:pPr>
        <w:spacing w:after="60" w:before="60"/>
        <w:jc w:val="both"/>
      </w:pPr>
      <w:r>
        <w:rPr>
          <w:rFonts w:ascii="Arial" w:cs="Arial" w:eastAsia="Arial" w:hAnsi="Arial"/>
          <w:b/>
          <w:bCs/>
          <w:sz w:val="22"/>
          <w:szCs w:val="22"/>
        </w:rPr>
        <w:t xml:space="preserve">Gold</w:t>
      </w:r>
      <w:r>
        <w:rPr>
          <w:rFonts w:ascii="Arial" w:cs="Arial" w:eastAsia="Arial" w:hAnsi="Arial"/>
          <w:sz w:val="22"/>
          <w:szCs w:val="22"/>
        </w:rPr>
        <w:t xml:space="preserve"> is CoTAR-dominant under GPRTHREAT, where CoTAR (1.832) outperforms TAR (1.880) and is the best model overall in that GPR variant. This is a substantively interesting finding: although Gold shows no statistically significant Hansen threshold effect under any GPR type — its safe-haven mechanism operates through the EGARCH level-shift channel rather than AR regime-switching — the CoTAR model’s adaptive threshold nonetheless organises monthly observations in a way that marginally improves OOS accuracy under GPRTHREAT. This likely reflects CoTAR correctly adjusting the regime boundary during the sustained high-threat environment of 2022–2026, periods when Gold’s autoregressive dynamics shift in ways a fixed historical threshold cannot capture.</w:t>
      </w:r>
    </w:p>
    <w:p>
      <w:pPr>
        <w:spacing w:after="60" w:before="60"/>
        <w:jc w:val="both"/>
      </w:pPr>
      <w:r>
        <w:rPr>
          <w:rFonts w:ascii="Arial" w:cs="Arial" w:eastAsia="Arial" w:hAnsi="Arial"/>
          <w:b/>
          <w:bCs/>
          <w:sz w:val="22"/>
          <w:szCs w:val="22"/>
        </w:rPr>
        <w:t xml:space="preserve">Silver</w:t>
      </w:r>
      <w:r>
        <w:rPr>
          <w:rFonts w:ascii="Arial" w:cs="Arial" w:eastAsia="Arial" w:hAnsi="Arial"/>
          <w:sz w:val="22"/>
          <w:szCs w:val="22"/>
        </w:rPr>
        <w:t xml:space="preserve"> shows CoTAR-ACT as the best model overall (RMSE 1.833), below TAR-ACT (1.884). Under composite GPR, CoTAR-GPR (1.841) similarly outperforms TAR-GPR (1.893). Silver’s dual industrial and safe-haven identity means that geopolitical regime boundaries evolve over time: in periods of heightened tension, Silver increasingly behaves like Gold (safe-haven demand compression of volatility), while in lower-tension periods it follows industrial cycle dynamics. CoTAR’s adaptive threshold captures these shifting demand-character episodes better than a fixed partition. Despite the large in-sample ΔR² improvement (11–12%) and CoTAR OOS advantage, no DM significance is recorded in either direction, so the margin is numerically clear but statistically marginal.</w:t>
      </w:r>
    </w:p>
    <w:p>
      <w:pPr>
        <w:spacing w:after="60" w:before="60"/>
        <w:jc w:val="both"/>
      </w:pPr>
      <w:r>
        <w:rPr>
          <w:rFonts w:ascii="Arial" w:cs="Arial" w:eastAsia="Arial" w:hAnsi="Arial"/>
          <w:b/>
          <w:bCs/>
          <w:sz w:val="22"/>
          <w:szCs w:val="22"/>
        </w:rPr>
        <w:t xml:space="preserve">Wheat (under composite GPR)</w:t>
      </w:r>
      <w:r>
        <w:rPr>
          <w:rFonts w:ascii="Arial" w:cs="Arial" w:eastAsia="Arial" w:hAnsi="Arial"/>
          <w:sz w:val="22"/>
          <w:szCs w:val="22"/>
        </w:rPr>
        <w:t xml:space="preserve"> provides a within-commodity reversal: while TAR dominates under GPRACT (as noted above), CoTAR-GPR (RMSE 2.457) is the best overall model for Wheat under composite GPR, marginally edging TAR-GPR (2.464) and AR (2.465). This reflects the composite GPR’s dual capture of both conflict threats (Ukraine wheat export disruption) and realised actions (Black Sea port blockades), a mixed signal that benefits from CoTAR’s adaptive regime boundary more than from a fixed historical partition.</w:t>
      </w:r>
    </w:p>
    <w:p>
      <w:pPr>
        <w:spacing w:after="60" w:before="60"/>
        <w:jc w:val="both"/>
      </w:pPr>
      <w:r>
        <w:rPr>
          <w:rFonts w:ascii="Arial" w:cs="Arial" w:eastAsia="Arial" w:hAnsi="Arial"/>
          <w:b/>
          <w:bCs/>
          <w:sz w:val="22"/>
          <w:szCs w:val="22"/>
        </w:rPr>
        <w:t xml:space="preserve">Heating Oil (under composite GPR)</w:t>
      </w:r>
      <w:r>
        <w:rPr>
          <w:rFonts w:ascii="Arial" w:cs="Arial" w:eastAsia="Arial" w:hAnsi="Arial"/>
          <w:sz w:val="22"/>
          <w:szCs w:val="22"/>
        </w:rPr>
        <w:t xml:space="preserve"> provides a symmetric reversal from the GPRTHREAT TAR advantage: CoTAR-GPR (RMSE 2.427) is the best threshold model and closely approaches the AR benchmark (2.433), outperforming TAR-GPR (2.451). The GPR composite thus benefits from adaptive recalibration for Heating Oil, even as the GPRTHREAT variant favours a fixed boundary. This split reinforces the practical guidance that GPR sub-index selection should precede the TAR/CoTAR choice for this commodity.</w:t>
      </w:r>
    </w:p>
    <w:p>
      <w:pPr>
        <w:pStyle w:val="Heading3"/>
        <w:spacing w:after="80" w:before="160"/>
      </w:pPr>
      <w:r>
        <w:rPr>
          <w:rFonts w:ascii="Arial" w:cs="Arial" w:eastAsia="Arial" w:hAnsi="Arial"/>
          <w:b/>
          <w:bCs/>
          <w:color w:val="404040"/>
          <w:sz w:val="24"/>
          <w:szCs w:val="24"/>
        </w:rPr>
        <w:t xml:space="preserve">Commodities Where Neither Model Dominates</w:t>
      </w:r>
    </w:p>
    <w:p>
      <w:pPr>
        <w:spacing w:after="60" w:before="60"/>
        <w:jc w:val="both"/>
      </w:pPr>
      <w:r>
        <w:rPr>
          <w:rFonts w:ascii="Arial" w:cs="Arial" w:eastAsia="Arial" w:hAnsi="Arial"/>
          <w:sz w:val="22"/>
          <w:szCs w:val="22"/>
        </w:rPr>
        <w:t xml:space="preserve">For the remaining seven commodities — Soybean, Cotton, Cocoa, Coffee, Copper, Nickel, Lead, Natural Gas, and Brent Crude — neither TAR nor CoTAR establishes consistent dominance across GPR variants, and both typically underperform or marginally match the linear AR baseline. In these cases the fundamental OOS finding is that threshold models add limited value relative to AR, and the TAR vs. CoTAR distinction is secondary. Soybean, Cotton, and Brent Crude show mixed patterns, with TAR or CoTAR occasionally edging AR in isolated variants but without sustained or significant forecast gains. Copper, Nickel, Lead, Natural Gas, and Coffee represent commodities where idiosyncratic drivers — the 2022 LME squeeze for Nickel, pipeline and LNG dynamics for Natural Gas, and weather-driven supply cycles for Coffee — dominate the GPR regime signal, rendering threshold models broadly ineffective OOS regardless of whether the threshold is fixed or adaptive.</w:t>
      </w:r>
    </w:p>
    <w:p>
      <w:pPr>
        <w:pStyle w:val="Heading3"/>
        <w:spacing w:after="80" w:before="160"/>
      </w:pPr>
      <w:r>
        <w:rPr>
          <w:rFonts w:ascii="Arial" w:cs="Arial" w:eastAsia="Arial" w:hAnsi="Arial"/>
          <w:b/>
          <w:bCs/>
          <w:color w:val="404040"/>
          <w:sz w:val="24"/>
          <w:szCs w:val="24"/>
        </w:rPr>
        <w:t xml:space="preserve">Summary: TAR vs. CoTAR Dominance by Commodity</w:t>
      </w:r>
    </w:p>
    <w:p>
      <w:pPr>
        <w:spacing w:after="60" w:before="60"/>
        <w:jc w:val="both"/>
      </w:pPr>
      <w:r>
        <w:rPr>
          <w:rFonts w:ascii="Arial" w:cs="Arial" w:eastAsia="Arial" w:hAnsi="Arial"/>
          <w:sz w:val="22"/>
          <w:szCs w:val="22"/>
        </w:rPr>
        <w:t xml:space="preserve">Table B.5 consolidates the TAR vs. CoTAR verdict for all 18 commodities through March 2026. The overarching pattern is that TAR dominates for commodities where GPR operates through a stable, structurally persistent channel that does not change meaning as the geopolitical environment evolves — seasonally driven agricultural markets (Sweetcorn), downstream refined energy products with fixed transmission lags (RBOB Gasoline), and precious metals with dual industrial-financial identities under specific GPR variants (Platinum-GPRTHREAT). CoTAR dominates where the GPR regime boundary is genuinely time-varying and the rolling-percentile threshold correctly represents that what constitutes “elevated” geopolitical risk has shifted structurally across the 26-year sample — most clearly for WTI Crude Oil, Zinc, and Silver.</w:t>
      </w:r>
    </w:p>
    <w:p>
      <w:pPr>
        <w:spacing w:after="120" w:before="120"/>
        <w:jc w:val="center"/>
      </w:pPr>
      <w:r>
        <w:rPr>
          <w:rFonts w:ascii="Arial" w:cs="Arial" w:eastAsia="Arial" w:hAnsi="Arial"/>
          <w:b/>
          <w:bCs/>
          <w:sz w:val="22"/>
          <w:szCs w:val="22"/>
        </w:rPr>
        <w:t xml:space="preserve">Table B.5: TAR vs. CoTAR Out-of-Sample Dominance — All 18 Commodities (January 2000 – March 2026)</w:t>
      </w:r>
    </w:p>
    <w:tbl>
      <w:tblPr>
        <w:tblStyle w:val="TableGrid"/>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Pr>
      <w:tblGrid>
        <w:gridCol w:w="1980"/>
        <w:gridCol w:w="1400"/>
        <w:gridCol w:w="1560"/>
        <w:gridCol w:w="4420"/>
      </w:tblGrid>
      <w:tr>
        <w:trPr>
          <w:tblHeader/>
        </w:trPr>
        <w:tc>
          <w:tcPr>
            <w:tcW w:w="1980" w:type="dxa"/>
            <w:shd w:val="clear" w:fill="1F3864"/>
          </w:tcPr>
          <w:p>
            <w:pPr>
              <w:jc w:val="center"/>
            </w:pPr>
            <w:r>
              <w:rPr>
                <w:rFonts w:ascii="Arial" w:hAnsi="Arial" w:cs="Arial"/>
                <w:b/>
                <w:bCs/>
                <w:color w:val="FFFFFF"/>
                <w:sz w:val="18"/>
                <w:szCs w:val="18"/>
              </w:rPr>
              <w:t>Commodity</w:t>
            </w:r>
          </w:p>
        </w:tc>
        <w:tc>
          <w:tcPr>
            <w:tcW w:w="1400" w:type="dxa"/>
            <w:shd w:val="clear" w:fill="1F3864"/>
          </w:tcPr>
          <w:p>
            <w:pPr>
              <w:jc w:val="center"/>
            </w:pPr>
            <w:r>
              <w:rPr>
                <w:rFonts w:ascii="Arial" w:hAnsi="Arial" w:cs="Arial"/>
                <w:b/>
                <w:bCs/>
                <w:color w:val="FFFFFF"/>
                <w:sz w:val="18"/>
                <w:szCs w:val="18"/>
              </w:rPr>
              <w:t>Group</w:t>
            </w:r>
          </w:p>
        </w:tc>
        <w:tc>
          <w:tcPr>
            <w:tcW w:w="1560" w:type="dxa"/>
            <w:shd w:val="clear" w:fill="1F3864"/>
          </w:tcPr>
          <w:p>
            <w:pPr>
              <w:jc w:val="center"/>
            </w:pPr>
            <w:r>
              <w:rPr>
                <w:rFonts w:ascii="Arial" w:hAnsi="Arial" w:cs="Arial"/>
                <w:b/>
                <w:bCs/>
                <w:color w:val="FFFFFF"/>
                <w:sz w:val="18"/>
                <w:szCs w:val="18"/>
              </w:rPr>
              <w:t>OOS Verdict</w:t>
            </w:r>
          </w:p>
        </w:tc>
        <w:tc>
          <w:tcPr>
            <w:tcW w:w="4420" w:type="dxa"/>
            <w:shd w:val="clear" w:fill="1F3864"/>
          </w:tcPr>
          <w:p>
            <w:pPr>
              <w:jc w:val="left"/>
            </w:pPr>
            <w:r>
              <w:rPr>
                <w:rFonts w:ascii="Arial" w:hAnsi="Arial" w:cs="Arial"/>
                <w:b/>
                <w:bCs/>
                <w:color w:val="FFFFFF"/>
                <w:sz w:val="18"/>
                <w:szCs w:val="18"/>
              </w:rPr>
              <w:t>Key Evidence / GPR Variant</w:t>
            </w:r>
          </w:p>
        </w:tc>
      </w:tr>
      <w:tr>
        <w:tc>
          <w:tcPr>
            <w:tcW w:w="1980" w:type="dxa"/>
            <w:shd w:val="clear" w:fill="E8F0F8"/>
          </w:tcPr>
          <w:p>
            <w:r>
              <w:rPr>
                <w:rFonts w:ascii="Arial" w:hAnsi="Arial" w:cs="Arial"/>
                <w:sz w:val="18"/>
                <w:szCs w:val="18"/>
              </w:rPr>
              <w:t>Gold</w:t>
            </w:r>
          </w:p>
        </w:tc>
        <w:tc>
          <w:tcPr>
            <w:tcW w:w="1400" w:type="dxa"/>
            <w:shd w:val="clear" w:fill="E8F0F8"/>
          </w:tcPr>
          <w:p>
            <w:r>
              <w:rPr>
                <w:rFonts w:ascii="Arial" w:hAnsi="Arial" w:cs="Arial"/>
                <w:sz w:val="18"/>
                <w:szCs w:val="18"/>
              </w:rPr>
              <w:t>Precious Metals</w:t>
            </w:r>
          </w:p>
        </w:tc>
        <w:tc>
          <w:tcPr>
            <w:tcW w:w="1560" w:type="dxa"/>
            <w:shd w:val="clear" w:fill="C6E0B4"/>
          </w:tcPr>
          <w:p>
            <w:pPr>
              <w:jc w:val="center"/>
            </w:pPr>
            <w:r>
              <w:rPr>
                <w:rFonts w:ascii="Arial" w:hAnsi="Arial" w:cs="Arial"/>
                <w:b/>
                <w:bCs/>
                <w:sz w:val="18"/>
                <w:szCs w:val="18"/>
              </w:rPr>
              <w:t>CoTAR</w:t>
            </w:r>
          </w:p>
        </w:tc>
        <w:tc>
          <w:tcPr>
            <w:tcW w:w="4420" w:type="dxa"/>
            <w:shd w:val="clear" w:fill="E8F0F8"/>
          </w:tcPr>
          <w:p>
            <w:r>
              <w:rPr>
                <w:rFonts w:ascii="Arial" w:hAnsi="Arial" w:cs="Arial"/>
                <w:sz w:val="18"/>
                <w:szCs w:val="18"/>
              </w:rPr>
              <w:t>CoTAR-GPRTHREAT best overall (1.832 vs TAR 1.880); adaptive boundary better captures 2022–2026 safe-haven shift</w:t>
            </w:r>
          </w:p>
        </w:tc>
      </w:tr>
      <w:tr>
        <w:tc>
          <w:tcPr>
            <w:tcW w:w="1980" w:type="dxa"/>
          </w:tcPr>
          <w:p>
            <w:r>
              <w:rPr>
                <w:rFonts w:ascii="Arial" w:hAnsi="Arial" w:cs="Arial"/>
                <w:sz w:val="18"/>
                <w:szCs w:val="18"/>
              </w:rPr>
              <w:t>Silver</w:t>
            </w:r>
          </w:p>
        </w:tc>
        <w:tc>
          <w:tcPr>
            <w:tcW w:w="1400" w:type="dxa"/>
          </w:tcPr>
          <w:p>
            <w:r>
              <w:rPr>
                <w:rFonts w:ascii="Arial" w:hAnsi="Arial" w:cs="Arial"/>
                <w:sz w:val="18"/>
                <w:szCs w:val="18"/>
              </w:rPr>
              <w:t>Precious Metals</w:t>
            </w:r>
          </w:p>
        </w:tc>
        <w:tc>
          <w:tcPr>
            <w:tcW w:w="1560" w:type="dxa"/>
            <w:shd w:val="clear" w:fill="C6E0B4"/>
          </w:tcPr>
          <w:p>
            <w:pPr>
              <w:jc w:val="center"/>
            </w:pPr>
            <w:r>
              <w:rPr>
                <w:rFonts w:ascii="Arial" w:hAnsi="Arial" w:cs="Arial"/>
                <w:b/>
                <w:bCs/>
                <w:sz w:val="18"/>
                <w:szCs w:val="18"/>
              </w:rPr>
              <w:t>CoTAR</w:t>
            </w:r>
          </w:p>
        </w:tc>
        <w:tc>
          <w:tcPr>
            <w:tcW w:w="4420" w:type="dxa"/>
          </w:tcPr>
          <w:p>
            <w:r>
              <w:rPr>
                <w:rFonts w:ascii="Arial" w:hAnsi="Arial" w:cs="Arial"/>
                <w:sz w:val="18"/>
                <w:szCs w:val="18"/>
              </w:rPr>
              <w:t>CoTAR-ACT best overall (1.833); dual safe-haven/industrial character benefits from adaptive threshold</w:t>
            </w:r>
          </w:p>
        </w:tc>
      </w:tr>
      <w:tr>
        <w:tc>
          <w:tcPr>
            <w:tcW w:w="1980" w:type="dxa"/>
            <w:shd w:val="clear" w:fill="E8F0F8"/>
          </w:tcPr>
          <w:p>
            <w:r>
              <w:rPr>
                <w:rFonts w:ascii="Arial" w:hAnsi="Arial" w:cs="Arial"/>
                <w:sz w:val="18"/>
                <w:szCs w:val="18"/>
              </w:rPr>
              <w:t>Platinum</w:t>
            </w:r>
          </w:p>
        </w:tc>
        <w:tc>
          <w:tcPr>
            <w:tcW w:w="1400" w:type="dxa"/>
            <w:shd w:val="clear" w:fill="E8F0F8"/>
          </w:tcPr>
          <w:p>
            <w:r>
              <w:rPr>
                <w:rFonts w:ascii="Arial" w:hAnsi="Arial" w:cs="Arial"/>
                <w:sz w:val="18"/>
                <w:szCs w:val="18"/>
              </w:rPr>
              <w:t>Precious Metals</w:t>
            </w:r>
          </w:p>
        </w:tc>
        <w:tc>
          <w:tcPr>
            <w:tcW w:w="1560" w:type="dxa"/>
            <w:shd w:val="clear" w:fill="FCE4D6"/>
          </w:tcPr>
          <w:p>
            <w:pPr>
              <w:jc w:val="center"/>
            </w:pPr>
            <w:r>
              <w:rPr>
                <w:rFonts w:ascii="Arial" w:hAnsi="Arial" w:cs="Arial"/>
                <w:b/>
                <w:bCs/>
                <w:sz w:val="18"/>
                <w:szCs w:val="18"/>
              </w:rPr>
              <w:t>TAR</w:t>
            </w:r>
          </w:p>
        </w:tc>
        <w:tc>
          <w:tcPr>
            <w:tcW w:w="4420" w:type="dxa"/>
            <w:shd w:val="clear" w:fill="E8F0F8"/>
          </w:tcPr>
          <w:p>
            <w:r>
              <w:rPr>
                <w:rFonts w:ascii="Arial" w:hAnsi="Arial" w:cs="Arial"/>
                <w:sz w:val="18"/>
                <w:szCs w:val="18"/>
              </w:rPr>
              <w:t>TAR-GPRTHREAT best (1.846); DM p=0.069*; in-sample GPRACT signal does not transfer OOS</w:t>
            </w:r>
          </w:p>
        </w:tc>
      </w:tr>
      <w:tr>
        <w:tc>
          <w:tcPr>
            <w:tcW w:w="1980" w:type="dxa"/>
          </w:tcPr>
          <w:p>
            <w:r>
              <w:rPr>
                <w:rFonts w:ascii="Arial" w:hAnsi="Arial" w:cs="Arial"/>
                <w:sz w:val="18"/>
                <w:szCs w:val="18"/>
              </w:rPr>
              <w:t>Wheat</w:t>
            </w:r>
          </w:p>
        </w:tc>
        <w:tc>
          <w:tcPr>
            <w:tcW w:w="1400" w:type="dxa"/>
          </w:tcPr>
          <w:p>
            <w:r>
              <w:rPr>
                <w:rFonts w:ascii="Arial" w:hAnsi="Arial" w:cs="Arial"/>
                <w:sz w:val="18"/>
                <w:szCs w:val="18"/>
              </w:rPr>
              <w:t>Agricultural</w:t>
            </w:r>
          </w:p>
        </w:tc>
        <w:tc>
          <w:tcPr>
            <w:tcW w:w="1560" w:type="dxa"/>
            <w:shd w:val="clear" w:fill="FFF2CC"/>
          </w:tcPr>
          <w:p>
            <w:pPr>
              <w:jc w:val="center"/>
            </w:pPr>
            <w:r>
              <w:rPr>
                <w:rFonts w:ascii="Arial" w:hAnsi="Arial" w:cs="Arial"/>
                <w:b/>
                <w:bCs/>
                <w:sz w:val="18"/>
                <w:szCs w:val="18"/>
              </w:rPr>
              <w:t>Mixed</w:t>
            </w:r>
          </w:p>
        </w:tc>
        <w:tc>
          <w:tcPr>
            <w:tcW w:w="4420" w:type="dxa"/>
          </w:tcPr>
          <w:p>
            <w:r>
              <w:rPr>
                <w:rFonts w:ascii="Arial" w:hAnsi="Arial" w:cs="Arial"/>
                <w:sz w:val="18"/>
                <w:szCs w:val="18"/>
              </w:rPr>
              <w:t>CoTAR-GPR best overall (2.457); TAR dominant under GPRACT (DM p=0.019**); GPR variant determines winner</w:t>
            </w:r>
          </w:p>
        </w:tc>
      </w:tr>
      <w:tr>
        <w:tc>
          <w:tcPr>
            <w:tcW w:w="1980" w:type="dxa"/>
            <w:shd w:val="clear" w:fill="E8F0F8"/>
          </w:tcPr>
          <w:p>
            <w:r>
              <w:rPr>
                <w:rFonts w:ascii="Arial" w:hAnsi="Arial" w:cs="Arial"/>
                <w:sz w:val="18"/>
                <w:szCs w:val="18"/>
              </w:rPr>
              <w:t>Sweetcorn</w:t>
            </w:r>
          </w:p>
        </w:tc>
        <w:tc>
          <w:tcPr>
            <w:tcW w:w="1400" w:type="dxa"/>
            <w:shd w:val="clear" w:fill="E8F0F8"/>
          </w:tcPr>
          <w:p>
            <w:r>
              <w:rPr>
                <w:rFonts w:ascii="Arial" w:hAnsi="Arial" w:cs="Arial"/>
                <w:sz w:val="18"/>
                <w:szCs w:val="18"/>
              </w:rPr>
              <w:t>Agricultural</w:t>
            </w:r>
          </w:p>
        </w:tc>
        <w:tc>
          <w:tcPr>
            <w:tcW w:w="1560" w:type="dxa"/>
            <w:shd w:val="clear" w:fill="FCE4D6"/>
          </w:tcPr>
          <w:p>
            <w:pPr>
              <w:jc w:val="center"/>
            </w:pPr>
            <w:r>
              <w:rPr>
                <w:rFonts w:ascii="Arial" w:hAnsi="Arial" w:cs="Arial"/>
                <w:b/>
                <w:bCs/>
                <w:sz w:val="18"/>
                <w:szCs w:val="18"/>
              </w:rPr>
              <w:t>TAR</w:t>
            </w:r>
          </w:p>
        </w:tc>
        <w:tc>
          <w:tcPr>
            <w:tcW w:w="4420" w:type="dxa"/>
            <w:shd w:val="clear" w:fill="E8F0F8"/>
          </w:tcPr>
          <w:p>
            <w:r>
              <w:rPr>
                <w:rFonts w:ascii="Arial" w:hAnsi="Arial" w:cs="Arial"/>
                <w:sz w:val="18"/>
                <w:szCs w:val="18"/>
              </w:rPr>
              <w:t>TAR-GPRTHREAT best and beats AR; DM p=0.034** vs CoTAR; seasonal supply dynamics favour fixed threshold</w:t>
            </w:r>
          </w:p>
        </w:tc>
      </w:tr>
      <w:tr>
        <w:tc>
          <w:tcPr>
            <w:tcW w:w="1980" w:type="dxa"/>
          </w:tcPr>
          <w:p>
            <w:r>
              <w:rPr>
                <w:rFonts w:ascii="Arial" w:hAnsi="Arial" w:cs="Arial"/>
                <w:sz w:val="18"/>
                <w:szCs w:val="18"/>
              </w:rPr>
              <w:t>Soybean</w:t>
            </w:r>
          </w:p>
        </w:tc>
        <w:tc>
          <w:tcPr>
            <w:tcW w:w="1400" w:type="dxa"/>
          </w:tcPr>
          <w:p>
            <w:r>
              <w:rPr>
                <w:rFonts w:ascii="Arial" w:hAnsi="Arial" w:cs="Arial"/>
                <w:sz w:val="18"/>
                <w:szCs w:val="18"/>
              </w:rPr>
              <w:t>Agricultural</w:t>
            </w:r>
          </w:p>
        </w:tc>
        <w:tc>
          <w:tcPr>
            <w:tcW w:w="1560" w:type="dxa"/>
            <w:shd w:val="clear" w:fill="EDEDED"/>
          </w:tcPr>
          <w:p>
            <w:pPr>
              <w:jc w:val="center"/>
            </w:pPr>
            <w:r>
              <w:rPr>
                <w:rFonts w:ascii="Arial" w:hAnsi="Arial" w:cs="Arial"/>
                <w:b/>
                <w:bCs/>
                <w:sz w:val="18"/>
                <w:szCs w:val="18"/>
              </w:rPr>
              <w:t>Neither</w:t>
            </w:r>
          </w:p>
        </w:tc>
        <w:tc>
          <w:tcPr>
            <w:tcW w:w="4420" w:type="dxa"/>
          </w:tcPr>
          <w:p>
            <w:r>
              <w:rPr>
                <w:rFonts w:ascii="Arial" w:hAnsi="Arial" w:cs="Arial"/>
                <w:sz w:val="18"/>
                <w:szCs w:val="18"/>
              </w:rPr>
              <w:t>AR dominates (1.709); both threshold models underperform; US–China bilateral signal does not persist OOS</w:t>
            </w:r>
          </w:p>
        </w:tc>
      </w:tr>
      <w:tr>
        <w:tc>
          <w:tcPr>
            <w:tcW w:w="1980" w:type="dxa"/>
            <w:shd w:val="clear" w:fill="E8F0F8"/>
          </w:tcPr>
          <w:p>
            <w:r>
              <w:rPr>
                <w:rFonts w:ascii="Arial" w:hAnsi="Arial" w:cs="Arial"/>
                <w:sz w:val="18"/>
                <w:szCs w:val="18"/>
              </w:rPr>
              <w:t>Cotton</w:t>
            </w:r>
          </w:p>
        </w:tc>
        <w:tc>
          <w:tcPr>
            <w:tcW w:w="1400" w:type="dxa"/>
            <w:shd w:val="clear" w:fill="E8F0F8"/>
          </w:tcPr>
          <w:p>
            <w:r>
              <w:rPr>
                <w:rFonts w:ascii="Arial" w:hAnsi="Arial" w:cs="Arial"/>
                <w:sz w:val="18"/>
                <w:szCs w:val="18"/>
              </w:rPr>
              <w:t>Agricultural</w:t>
            </w:r>
          </w:p>
        </w:tc>
        <w:tc>
          <w:tcPr>
            <w:tcW w:w="1560" w:type="dxa"/>
            <w:shd w:val="clear" w:fill="EDEDED"/>
          </w:tcPr>
          <w:p>
            <w:pPr>
              <w:jc w:val="center"/>
            </w:pPr>
            <w:r>
              <w:rPr>
                <w:rFonts w:ascii="Arial" w:hAnsi="Arial" w:cs="Arial"/>
                <w:b/>
                <w:bCs/>
                <w:sz w:val="18"/>
                <w:szCs w:val="18"/>
              </w:rPr>
              <w:t>Neither</w:t>
            </w:r>
          </w:p>
        </w:tc>
        <w:tc>
          <w:tcPr>
            <w:tcW w:w="4420" w:type="dxa"/>
            <w:shd w:val="clear" w:fill="E8F0F8"/>
          </w:tcPr>
          <w:p>
            <w:r>
              <w:rPr>
                <w:rFonts w:ascii="Arial" w:hAnsi="Arial" w:cs="Arial"/>
                <w:sz w:val="18"/>
                <w:szCs w:val="18"/>
              </w:rPr>
              <w:t>AR dominates (1.669); TAR-GPRTHREAT (1.665) marginally best; in-sample GPRACT signal does not transfer OOS</w:t>
            </w:r>
          </w:p>
        </w:tc>
      </w:tr>
      <w:tr>
        <w:tc>
          <w:tcPr>
            <w:tcW w:w="1980" w:type="dxa"/>
          </w:tcPr>
          <w:p>
            <w:r>
              <w:rPr>
                <w:rFonts w:ascii="Arial" w:hAnsi="Arial" w:cs="Arial"/>
                <w:sz w:val="18"/>
                <w:szCs w:val="18"/>
              </w:rPr>
              <w:t>Cocoa</w:t>
            </w:r>
          </w:p>
        </w:tc>
        <w:tc>
          <w:tcPr>
            <w:tcW w:w="1400" w:type="dxa"/>
          </w:tcPr>
          <w:p>
            <w:r>
              <w:rPr>
                <w:rFonts w:ascii="Arial" w:hAnsi="Arial" w:cs="Arial"/>
                <w:sz w:val="18"/>
                <w:szCs w:val="18"/>
              </w:rPr>
              <w:t>Agricultural</w:t>
            </w:r>
          </w:p>
        </w:tc>
        <w:tc>
          <w:tcPr>
            <w:tcW w:w="1560" w:type="dxa"/>
            <w:shd w:val="clear" w:fill="EDEDED"/>
          </w:tcPr>
          <w:p>
            <w:pPr>
              <w:jc w:val="center"/>
            </w:pPr>
            <w:r>
              <w:rPr>
                <w:rFonts w:ascii="Arial" w:hAnsi="Arial" w:cs="Arial"/>
                <w:b/>
                <w:bCs/>
                <w:sz w:val="18"/>
                <w:szCs w:val="18"/>
              </w:rPr>
              <w:t>Neither</w:t>
            </w:r>
          </w:p>
        </w:tc>
        <w:tc>
          <w:tcPr>
            <w:tcW w:w="4420" w:type="dxa"/>
          </w:tcPr>
          <w:p>
            <w:r>
              <w:rPr>
                <w:rFonts w:ascii="Arial" w:hAnsi="Arial" w:cs="Arial"/>
                <w:sz w:val="18"/>
                <w:szCs w:val="18"/>
              </w:rPr>
              <w:t>AR best (2.185); TAR-GPRTHREAT (2.171) only marginally lower; idiosyncratic supply dominates</w:t>
            </w:r>
          </w:p>
        </w:tc>
      </w:tr>
      <w:tr>
        <w:tc>
          <w:tcPr>
            <w:tcW w:w="1980" w:type="dxa"/>
            <w:shd w:val="clear" w:fill="E8F0F8"/>
          </w:tcPr>
          <w:p>
            <w:r>
              <w:rPr>
                <w:rFonts w:ascii="Arial" w:hAnsi="Arial" w:cs="Arial"/>
                <w:sz w:val="18"/>
                <w:szCs w:val="18"/>
              </w:rPr>
              <w:t>Coffee</w:t>
            </w:r>
          </w:p>
        </w:tc>
        <w:tc>
          <w:tcPr>
            <w:tcW w:w="1400" w:type="dxa"/>
            <w:shd w:val="clear" w:fill="E8F0F8"/>
          </w:tcPr>
          <w:p>
            <w:r>
              <w:rPr>
                <w:rFonts w:ascii="Arial" w:hAnsi="Arial" w:cs="Arial"/>
                <w:sz w:val="18"/>
                <w:szCs w:val="18"/>
              </w:rPr>
              <w:t>Agricultural</w:t>
            </w:r>
          </w:p>
        </w:tc>
        <w:tc>
          <w:tcPr>
            <w:tcW w:w="1560" w:type="dxa"/>
            <w:shd w:val="clear" w:fill="EDEDED"/>
          </w:tcPr>
          <w:p>
            <w:pPr>
              <w:jc w:val="center"/>
            </w:pPr>
            <w:r>
              <w:rPr>
                <w:rFonts w:ascii="Arial" w:hAnsi="Arial" w:cs="Arial"/>
                <w:b/>
                <w:bCs/>
                <w:sz w:val="18"/>
                <w:szCs w:val="18"/>
              </w:rPr>
              <w:t>Neither</w:t>
            </w:r>
          </w:p>
        </w:tc>
        <w:tc>
          <w:tcPr>
            <w:tcW w:w="4420" w:type="dxa"/>
            <w:shd w:val="clear" w:fill="E8F0F8"/>
          </w:tcPr>
          <w:p>
            <w:r>
              <w:rPr>
                <w:rFonts w:ascii="Arial" w:hAnsi="Arial" w:cs="Arial"/>
                <w:sz w:val="18"/>
                <w:szCs w:val="18"/>
              </w:rPr>
              <w:t>Constant best (2.563 vs AR 2.584); weather-driven supply; GPR regime signal negligible OOS</w:t>
            </w:r>
          </w:p>
        </w:tc>
      </w:tr>
      <w:tr>
        <w:tc>
          <w:tcPr>
            <w:tcW w:w="1980" w:type="dxa"/>
          </w:tcPr>
          <w:p>
            <w:r>
              <w:rPr>
                <w:rFonts w:ascii="Arial" w:hAnsi="Arial" w:cs="Arial"/>
                <w:sz w:val="18"/>
                <w:szCs w:val="18"/>
              </w:rPr>
              <w:t>Copper</w:t>
            </w:r>
          </w:p>
        </w:tc>
        <w:tc>
          <w:tcPr>
            <w:tcW w:w="1400" w:type="dxa"/>
          </w:tcPr>
          <w:p>
            <w:r>
              <w:rPr>
                <w:rFonts w:ascii="Arial" w:hAnsi="Arial" w:cs="Arial"/>
                <w:sz w:val="18"/>
                <w:szCs w:val="18"/>
              </w:rPr>
              <w:t>Industrial Metals</w:t>
            </w:r>
          </w:p>
        </w:tc>
        <w:tc>
          <w:tcPr>
            <w:tcW w:w="1560" w:type="dxa"/>
            <w:shd w:val="clear" w:fill="EDEDED"/>
          </w:tcPr>
          <w:p>
            <w:pPr>
              <w:jc w:val="center"/>
            </w:pPr>
            <w:r>
              <w:rPr>
                <w:rFonts w:ascii="Arial" w:hAnsi="Arial" w:cs="Arial"/>
                <w:b/>
                <w:bCs/>
                <w:sz w:val="18"/>
                <w:szCs w:val="18"/>
              </w:rPr>
              <w:t>Neither</w:t>
            </w:r>
          </w:p>
        </w:tc>
        <w:tc>
          <w:tcPr>
            <w:tcW w:w="4420" w:type="dxa"/>
          </w:tcPr>
          <w:p>
            <w:r>
              <w:rPr>
                <w:rFonts w:ascii="Arial" w:hAnsi="Arial" w:cs="Arial"/>
                <w:sz w:val="18"/>
                <w:szCs w:val="18"/>
              </w:rPr>
              <w:t>Constant best (1.965); large in-sample ΔR² (12%) does not translate to OOS gains; industrial cycle dominates</w:t>
            </w:r>
          </w:p>
        </w:tc>
      </w:tr>
      <w:tr>
        <w:tc>
          <w:tcPr>
            <w:tcW w:w="1980" w:type="dxa"/>
            <w:shd w:val="clear" w:fill="E8F0F8"/>
          </w:tcPr>
          <w:p>
            <w:r>
              <w:rPr>
                <w:rFonts w:ascii="Arial" w:hAnsi="Arial" w:cs="Arial"/>
                <w:sz w:val="18"/>
                <w:szCs w:val="18"/>
              </w:rPr>
              <w:t>Zinc</w:t>
            </w:r>
          </w:p>
        </w:tc>
        <w:tc>
          <w:tcPr>
            <w:tcW w:w="1400" w:type="dxa"/>
            <w:shd w:val="clear" w:fill="E8F0F8"/>
          </w:tcPr>
          <w:p>
            <w:r>
              <w:rPr>
                <w:rFonts w:ascii="Arial" w:hAnsi="Arial" w:cs="Arial"/>
                <w:sz w:val="18"/>
                <w:szCs w:val="18"/>
              </w:rPr>
              <w:t>Industrial Metals</w:t>
            </w:r>
          </w:p>
        </w:tc>
        <w:tc>
          <w:tcPr>
            <w:tcW w:w="1560" w:type="dxa"/>
            <w:shd w:val="clear" w:fill="C6E0B4"/>
          </w:tcPr>
          <w:p>
            <w:pPr>
              <w:jc w:val="center"/>
            </w:pPr>
            <w:r>
              <w:rPr>
                <w:rFonts w:ascii="Arial" w:hAnsi="Arial" w:cs="Arial"/>
                <w:b/>
                <w:bCs/>
                <w:sz w:val="18"/>
                <w:szCs w:val="18"/>
              </w:rPr>
              <w:t>CoTAR</w:t>
            </w:r>
          </w:p>
        </w:tc>
        <w:tc>
          <w:tcPr>
            <w:tcW w:w="4420" w:type="dxa"/>
            <w:shd w:val="clear" w:fill="E8F0F8"/>
          </w:tcPr>
          <w:p>
            <w:r>
              <w:rPr>
                <w:rFonts w:ascii="Arial" w:hAnsi="Arial" w:cs="Arial"/>
                <w:sz w:val="18"/>
                <w:szCs w:val="18"/>
              </w:rPr>
              <w:t>CoTAR-GPR best overall (2.061) and beats AR; adaptive threshold captures evolving China manufacturing sensitivity</w:t>
            </w:r>
          </w:p>
        </w:tc>
      </w:tr>
      <w:tr>
        <w:tc>
          <w:tcPr>
            <w:tcW w:w="1980" w:type="dxa"/>
          </w:tcPr>
          <w:p>
            <w:r>
              <w:rPr>
                <w:rFonts w:ascii="Arial" w:hAnsi="Arial" w:cs="Arial"/>
                <w:sz w:val="18"/>
                <w:szCs w:val="18"/>
              </w:rPr>
              <w:t>Nickel</w:t>
            </w:r>
          </w:p>
        </w:tc>
        <w:tc>
          <w:tcPr>
            <w:tcW w:w="1400" w:type="dxa"/>
          </w:tcPr>
          <w:p>
            <w:r>
              <w:rPr>
                <w:rFonts w:ascii="Arial" w:hAnsi="Arial" w:cs="Arial"/>
                <w:sz w:val="18"/>
                <w:szCs w:val="18"/>
              </w:rPr>
              <w:t>Industrial Metals</w:t>
            </w:r>
          </w:p>
        </w:tc>
        <w:tc>
          <w:tcPr>
            <w:tcW w:w="1560" w:type="dxa"/>
            <w:shd w:val="clear" w:fill="EDEDED"/>
          </w:tcPr>
          <w:p>
            <w:pPr>
              <w:jc w:val="center"/>
            </w:pPr>
            <w:r>
              <w:rPr>
                <w:rFonts w:ascii="Arial" w:hAnsi="Arial" w:cs="Arial"/>
                <w:b/>
                <w:bCs/>
                <w:sz w:val="18"/>
                <w:szCs w:val="18"/>
              </w:rPr>
              <w:t>Neither</w:t>
            </w:r>
          </w:p>
        </w:tc>
        <w:tc>
          <w:tcPr>
            <w:tcW w:w="4420" w:type="dxa"/>
          </w:tcPr>
          <w:p>
            <w:r>
              <w:rPr>
                <w:rFonts w:ascii="Arial" w:hAnsi="Arial" w:cs="Arial"/>
                <w:sz w:val="18"/>
                <w:szCs w:val="18"/>
              </w:rPr>
              <w:t>Constant best (2.604); 2022 LME squeeze is idiosyncratic; neither threshold model adds OOS value</w:t>
            </w:r>
          </w:p>
        </w:tc>
      </w:tr>
      <w:tr>
        <w:tc>
          <w:tcPr>
            <w:tcW w:w="1980" w:type="dxa"/>
            <w:shd w:val="clear" w:fill="E8F0F8"/>
          </w:tcPr>
          <w:p>
            <w:r>
              <w:rPr>
                <w:rFonts w:ascii="Arial" w:hAnsi="Arial" w:cs="Arial"/>
                <w:sz w:val="18"/>
                <w:szCs w:val="18"/>
              </w:rPr>
              <w:t>Lead</w:t>
            </w:r>
          </w:p>
        </w:tc>
        <w:tc>
          <w:tcPr>
            <w:tcW w:w="1400" w:type="dxa"/>
            <w:shd w:val="clear" w:fill="E8F0F8"/>
          </w:tcPr>
          <w:p>
            <w:r>
              <w:rPr>
                <w:rFonts w:ascii="Arial" w:hAnsi="Arial" w:cs="Arial"/>
                <w:sz w:val="18"/>
                <w:szCs w:val="18"/>
              </w:rPr>
              <w:t>Industrial Metals</w:t>
            </w:r>
          </w:p>
        </w:tc>
        <w:tc>
          <w:tcPr>
            <w:tcW w:w="1560" w:type="dxa"/>
            <w:shd w:val="clear" w:fill="EDEDED"/>
          </w:tcPr>
          <w:p>
            <w:pPr>
              <w:jc w:val="center"/>
            </w:pPr>
            <w:r>
              <w:rPr>
                <w:rFonts w:ascii="Arial" w:hAnsi="Arial" w:cs="Arial"/>
                <w:b/>
                <w:bCs/>
                <w:sz w:val="18"/>
                <w:szCs w:val="18"/>
              </w:rPr>
              <w:t>Neither</w:t>
            </w:r>
          </w:p>
        </w:tc>
        <w:tc>
          <w:tcPr>
            <w:tcW w:w="4420" w:type="dxa"/>
            <w:shd w:val="clear" w:fill="E8F0F8"/>
          </w:tcPr>
          <w:p>
            <w:r>
              <w:rPr>
                <w:rFonts w:ascii="Arial" w:hAnsi="Arial" w:cs="Arial"/>
                <w:sz w:val="18"/>
                <w:szCs w:val="18"/>
              </w:rPr>
              <w:t>AR best (1.848); both threshold models underperform; industrial demand relatively GPR-insensitive</w:t>
            </w:r>
          </w:p>
        </w:tc>
      </w:tr>
      <w:tr>
        <w:tc>
          <w:tcPr>
            <w:tcW w:w="1980" w:type="dxa"/>
          </w:tcPr>
          <w:p>
            <w:r>
              <w:rPr>
                <w:rFonts w:ascii="Arial" w:hAnsi="Arial" w:cs="Arial"/>
                <w:sz w:val="18"/>
                <w:szCs w:val="18"/>
              </w:rPr>
              <w:t>WTI Crude Oil</w:t>
            </w:r>
          </w:p>
        </w:tc>
        <w:tc>
          <w:tcPr>
            <w:tcW w:w="1400" w:type="dxa"/>
          </w:tcPr>
          <w:p>
            <w:r>
              <w:rPr>
                <w:rFonts w:ascii="Arial" w:hAnsi="Arial" w:cs="Arial"/>
                <w:sz w:val="18"/>
                <w:szCs w:val="18"/>
              </w:rPr>
              <w:t>Energy</w:t>
            </w:r>
          </w:p>
        </w:tc>
        <w:tc>
          <w:tcPr>
            <w:tcW w:w="1560" w:type="dxa"/>
            <w:shd w:val="clear" w:fill="C6E0B4"/>
          </w:tcPr>
          <w:p>
            <w:pPr>
              <w:jc w:val="center"/>
            </w:pPr>
            <w:r>
              <w:rPr>
                <w:rFonts w:ascii="Arial" w:hAnsi="Arial" w:cs="Arial"/>
                <w:b/>
                <w:bCs/>
                <w:sz w:val="18"/>
                <w:szCs w:val="18"/>
              </w:rPr>
              <w:t>CoTAR</w:t>
            </w:r>
          </w:p>
        </w:tc>
        <w:tc>
          <w:tcPr>
            <w:tcW w:w="4420" w:type="dxa"/>
          </w:tcPr>
          <w:p>
            <w:r>
              <w:rPr>
                <w:rFonts w:ascii="Arial" w:hAnsi="Arial" w:cs="Arial"/>
                <w:sz w:val="18"/>
                <w:szCs w:val="18"/>
              </w:rPr>
              <w:t>CoTAR-GPR best overall (1.884) and beats AR; adaptive threshold correctly contextualises 2022–2026 geopolitical escalation</w:t>
            </w:r>
          </w:p>
        </w:tc>
      </w:tr>
      <w:tr>
        <w:tc>
          <w:tcPr>
            <w:tcW w:w="1980" w:type="dxa"/>
            <w:shd w:val="clear" w:fill="E8F0F8"/>
          </w:tcPr>
          <w:p>
            <w:r>
              <w:rPr>
                <w:rFonts w:ascii="Arial" w:hAnsi="Arial" w:cs="Arial"/>
                <w:sz w:val="18"/>
                <w:szCs w:val="18"/>
              </w:rPr>
              <w:t>Brent Crude</w:t>
            </w:r>
          </w:p>
        </w:tc>
        <w:tc>
          <w:tcPr>
            <w:tcW w:w="1400" w:type="dxa"/>
            <w:shd w:val="clear" w:fill="E8F0F8"/>
          </w:tcPr>
          <w:p>
            <w:r>
              <w:rPr>
                <w:rFonts w:ascii="Arial" w:hAnsi="Arial" w:cs="Arial"/>
                <w:sz w:val="18"/>
                <w:szCs w:val="18"/>
              </w:rPr>
              <w:t>Energy</w:t>
            </w:r>
          </w:p>
        </w:tc>
        <w:tc>
          <w:tcPr>
            <w:tcW w:w="1560" w:type="dxa"/>
            <w:shd w:val="clear" w:fill="EDEDED"/>
          </w:tcPr>
          <w:p>
            <w:pPr>
              <w:jc w:val="center"/>
            </w:pPr>
            <w:r>
              <w:rPr>
                <w:rFonts w:ascii="Arial" w:hAnsi="Arial" w:cs="Arial"/>
                <w:b/>
                <w:bCs/>
                <w:sz w:val="18"/>
                <w:szCs w:val="18"/>
              </w:rPr>
              <w:t>Neither</w:t>
            </w:r>
          </w:p>
        </w:tc>
        <w:tc>
          <w:tcPr>
            <w:tcW w:w="4420" w:type="dxa"/>
            <w:shd w:val="clear" w:fill="E8F0F8"/>
          </w:tcPr>
          <w:p>
            <w:r>
              <w:rPr>
                <w:rFonts w:ascii="Arial" w:hAnsi="Arial" w:cs="Arial"/>
                <w:sz w:val="18"/>
                <w:szCs w:val="18"/>
              </w:rPr>
              <w:t>AR best (1.918); both CoTAR and TAR underperform; European supply channel absorbed within-regime</w:t>
            </w:r>
          </w:p>
        </w:tc>
      </w:tr>
      <w:tr>
        <w:tc>
          <w:tcPr>
            <w:tcW w:w="1980" w:type="dxa"/>
          </w:tcPr>
          <w:p>
            <w:r>
              <w:rPr>
                <w:rFonts w:ascii="Arial" w:hAnsi="Arial" w:cs="Arial"/>
                <w:sz w:val="18"/>
                <w:szCs w:val="18"/>
              </w:rPr>
              <w:t>Natural Gas</w:t>
            </w:r>
          </w:p>
        </w:tc>
        <w:tc>
          <w:tcPr>
            <w:tcW w:w="1400" w:type="dxa"/>
          </w:tcPr>
          <w:p>
            <w:r>
              <w:rPr>
                <w:rFonts w:ascii="Arial" w:hAnsi="Arial" w:cs="Arial"/>
                <w:sz w:val="18"/>
                <w:szCs w:val="18"/>
              </w:rPr>
              <w:t>Energy</w:t>
            </w:r>
          </w:p>
        </w:tc>
        <w:tc>
          <w:tcPr>
            <w:tcW w:w="1560" w:type="dxa"/>
            <w:shd w:val="clear" w:fill="EDEDED"/>
          </w:tcPr>
          <w:p>
            <w:pPr>
              <w:jc w:val="center"/>
            </w:pPr>
            <w:r>
              <w:rPr>
                <w:rFonts w:ascii="Arial" w:hAnsi="Arial" w:cs="Arial"/>
                <w:b/>
                <w:bCs/>
                <w:sz w:val="18"/>
                <w:szCs w:val="18"/>
              </w:rPr>
              <w:t>Neither</w:t>
            </w:r>
          </w:p>
        </w:tc>
        <w:tc>
          <w:tcPr>
            <w:tcW w:w="4420" w:type="dxa"/>
          </w:tcPr>
          <w:p>
            <w:r>
              <w:rPr>
                <w:rFonts w:ascii="Arial" w:hAnsi="Arial" w:cs="Arial"/>
                <w:sz w:val="18"/>
                <w:szCs w:val="18"/>
              </w:rPr>
              <w:t>AR best (2.311); TAR-GPRTHREAT (2.300) marginally lower; LNG/pipeline supply dominates; no robust GPR regime signal</w:t>
            </w:r>
          </w:p>
        </w:tc>
      </w:tr>
      <w:tr>
        <w:tc>
          <w:tcPr>
            <w:tcW w:w="1980" w:type="dxa"/>
            <w:shd w:val="clear" w:fill="E8F0F8"/>
          </w:tcPr>
          <w:p>
            <w:r>
              <w:rPr>
                <w:rFonts w:ascii="Arial" w:hAnsi="Arial" w:cs="Arial"/>
                <w:sz w:val="18"/>
                <w:szCs w:val="18"/>
              </w:rPr>
              <w:t>RBOB Gasoline</w:t>
            </w:r>
          </w:p>
        </w:tc>
        <w:tc>
          <w:tcPr>
            <w:tcW w:w="1400" w:type="dxa"/>
            <w:shd w:val="clear" w:fill="E8F0F8"/>
          </w:tcPr>
          <w:p>
            <w:r>
              <w:rPr>
                <w:rFonts w:ascii="Arial" w:hAnsi="Arial" w:cs="Arial"/>
                <w:sz w:val="18"/>
                <w:szCs w:val="18"/>
              </w:rPr>
              <w:t>Energy</w:t>
            </w:r>
          </w:p>
        </w:tc>
        <w:tc>
          <w:tcPr>
            <w:tcW w:w="1560" w:type="dxa"/>
            <w:shd w:val="clear" w:fill="FCE4D6"/>
          </w:tcPr>
          <w:p>
            <w:pPr>
              <w:jc w:val="center"/>
            </w:pPr>
            <w:r>
              <w:rPr>
                <w:rFonts w:ascii="Arial" w:hAnsi="Arial" w:cs="Arial"/>
                <w:b/>
                <w:bCs/>
                <w:sz w:val="18"/>
                <w:szCs w:val="18"/>
              </w:rPr>
              <w:t>TAR</w:t>
            </w:r>
          </w:p>
        </w:tc>
        <w:tc>
          <w:tcPr>
            <w:tcW w:w="4420" w:type="dxa"/>
            <w:shd w:val="clear" w:fill="E8F0F8"/>
          </w:tcPr>
          <w:p>
            <w:r>
              <w:rPr>
                <w:rFonts w:ascii="Arial" w:hAnsi="Arial" w:cs="Arial"/>
                <w:sz w:val="18"/>
                <w:szCs w:val="18"/>
              </w:rPr>
              <w:t>TAR-ACT best overall (1.861) and beats AR; DM p=0.007*** vs CoTAR; fixed threshold better suits 4-month crack-spread lag</w:t>
            </w:r>
          </w:p>
        </w:tc>
      </w:tr>
      <w:tr>
        <w:tc>
          <w:tcPr>
            <w:tcW w:w="1980" w:type="dxa"/>
          </w:tcPr>
          <w:p>
            <w:r>
              <w:rPr>
                <w:rFonts w:ascii="Arial" w:hAnsi="Arial" w:cs="Arial"/>
                <w:sz w:val="18"/>
                <w:szCs w:val="18"/>
              </w:rPr>
              <w:t>Heating Oil</w:t>
            </w:r>
          </w:p>
        </w:tc>
        <w:tc>
          <w:tcPr>
            <w:tcW w:w="1400" w:type="dxa"/>
          </w:tcPr>
          <w:p>
            <w:r>
              <w:rPr>
                <w:rFonts w:ascii="Arial" w:hAnsi="Arial" w:cs="Arial"/>
                <w:sz w:val="18"/>
                <w:szCs w:val="18"/>
              </w:rPr>
              <w:t>Energy</w:t>
            </w:r>
          </w:p>
        </w:tc>
        <w:tc>
          <w:tcPr>
            <w:tcW w:w="1560" w:type="dxa"/>
            <w:shd w:val="clear" w:fill="FFF2CC"/>
          </w:tcPr>
          <w:p>
            <w:pPr>
              <w:jc w:val="center"/>
            </w:pPr>
            <w:r>
              <w:rPr>
                <w:rFonts w:ascii="Arial" w:hAnsi="Arial" w:cs="Arial"/>
                <w:b/>
                <w:bCs/>
                <w:sz w:val="18"/>
                <w:szCs w:val="18"/>
              </w:rPr>
              <w:t>Mixed</w:t>
            </w:r>
          </w:p>
        </w:tc>
        <w:tc>
          <w:tcPr>
            <w:tcW w:w="4420" w:type="dxa"/>
          </w:tcPr>
          <w:p>
            <w:r>
              <w:rPr>
                <w:rFonts w:ascii="Arial" w:hAnsi="Arial" w:cs="Arial"/>
                <w:sz w:val="18"/>
                <w:szCs w:val="18"/>
              </w:rPr>
              <w:t>CoTAR-GPR best (2.427); TAR-GPRTHREAT (2.468) confirmed over CoTAR (2.560) by DM p=0.074*; GPR variant determines winner</w:t>
            </w:r>
          </w:p>
        </w:tc>
      </w:tr>
    </w:tbl>
    <w:p>
      <w:pPr>
        <w:spacing w:after="60" w:before="60"/>
        <w:jc w:val="both"/>
      </w:pPr>
      <w:r>
        <w:rPr>
          <w:rFonts w:ascii="Arial" w:cs="Arial" w:eastAsia="Arial" w:hAnsi="Arial"/>
          <w:i/>
          <w:iCs/>
          <w:sz w:val="18"/>
          <w:szCs w:val="18"/>
        </w:rPr>
        <w:t xml:space="preserve">Verdict colour coding: Green = CoTAR dominant; Orange/Red = TAR dominant; Yellow = Mixed (GPR-variant-dependent); Grey = Neither dominant (AR or Constant preferred). OOS verdict based on lowest RMSE across majority of GPR variants and/or DM test significance. Source: Table B.3 and Table B.4, updated CoTAR analysis output, January 2000 – March 2026.</w:t>
      </w:r>
    </w:p>
    <w:p>
      <w:pPr>
        <w:pStyle w:val="Heading2"/>
        <w:spacing w:after="120" w:before="240"/>
      </w:pPr>
      <w:r>
        <w:rPr>
          <w:rFonts w:ascii="Arial" w:cs="Arial" w:eastAsia="Arial" w:hAnsi="Arial"/>
          <w:b/>
          <w:bCs/>
          <w:color w:val="1F3864"/>
          <w:sz w:val="28"/>
          <w:szCs w:val="28"/>
        </w:rPr>
        <w:t>B.8.4 Incremental Period Analysis: December 2025 – March 2026</w:t>
      </w:r>
    </w:p>
    <w:p>
      <w:pPr>
        <w:spacing w:after="120"/>
      </w:pPr>
      <w:r>
        <w:rPr>
          <w:rFonts w:ascii="Arial" w:cs="Arial" w:eastAsia="Arial" w:hAnsi="Arial"/>
          <w:color w:val="000000"/>
          <w:sz w:val="24"/>
          <w:szCs w:val="24"/>
        </w:rPr>
        <w:t xml:space="preserve">This subsection isolates the marginal impact of the four-month data extension from January 2026 to March 2026 on the TAR vs. CoTAR out-of-sample dominance verdict. By comparing the OOS verdicts obtained through December 2025 (reported in the companion report) with those obtained through March 2026 (reported in Table B.5 above), it is possible to identify commodities where the additional three months of elevated geopolitical tension in early 2026 altered which threshold model — fixed (TAR) or adaptive (CoTAR) — produced superior rolling-window forecasts. The incremental period spans a geopolitically active window: sustained Russia–Ukraine conflict dynamics, renewed Middle East tensions, and ongoing US–China trade friction, all of which contribute elevated and time-varying GPR readings that are precisely the conditions under which CoTAR’s adaptive rolling-quantile mechanism is designed to add value over TAR’s fixed historical boundary.</w:t>
      </w:r>
    </w:p>
    <w:p>
      <w:pPr>
        <w:spacing w:after="120"/>
      </w:pPr>
      <w:r>
        <w:rPr>
          <w:rFonts w:ascii="Arial" w:cs="Arial" w:eastAsia="Arial" w:hAnsi="Arial"/>
          <w:b/>
          <w:bCs/>
          <w:color w:val="000000"/>
          <w:sz w:val="24"/>
          <w:szCs w:val="24"/>
        </w:rPr>
        <w:t xml:space="preserve">Commodities where TAR outperforms CoTAR in the incremental period (TAR gains or retains advantage): </w:t>
      </w:r>
      <w:r>
        <w:rPr>
          <w:rFonts w:ascii="Arial" w:cs="Arial" w:eastAsia="Arial" w:hAnsi="Arial"/>
          <w:color w:val="000000"/>
          <w:sz w:val="24"/>
          <w:szCs w:val="24"/>
        </w:rPr>
        <w:t xml:space="preserve">RBOB Gasoline and Sweetcorn retain their TAR-dominant verdict through March 2026, consistent with their pre-December 2025 findings. For RBOB Gasoline, the crack-spread transmission mechanism continues to favour a fixed GPRACT threshold: the 4-month lag from crude geopolitical shocks to refined product pricing means the regime boundary is structurally stable and CoTAR’s monthly recalibration adds noise rather than signal (TAR-GPRACT RMSE 1.861 vs. CoTAR-GPRACT RMSE 1.994; DM p = 0.007***). Sweetcorn similarly confirms TAR dominance under GPRTHREAT (TAR RMSE 2.157 vs. CoTAR RMSE 2.317; DM p = 0.034**), reflecting that seasonal agricultural supply factors continue to dominate over time-varying GPR regime boundaries. Platinum retains a marginal TAR edge under GPRTHREAT, and Heating Oil under GPRTHREAT also maintains a TAR advantage (DM p = 0.074*), though both models underperform the linear AR baseline in this variant. Wheat under GPRACT (TAR RMSE 2.512 vs. CoTAR 2.593; DM p = 0.019**) also retains its TAR verdict, with neither threshold model adding value over AR — the noise in GPRACT as a regime signal for wheat is undiminished by the incremental data.</w:t>
      </w:r>
    </w:p>
    <w:p>
      <w:pPr>
        <w:spacing w:after="120"/>
      </w:pPr>
      <w:r>
        <w:rPr>
          <w:rFonts w:ascii="Arial" w:cs="Arial" w:eastAsia="Arial" w:hAnsi="Arial"/>
          <w:b/>
          <w:bCs/>
          <w:color w:val="000000"/>
          <w:sz w:val="24"/>
          <w:szCs w:val="24"/>
        </w:rPr>
        <w:t xml:space="preserve">Commodities where CoTAR outperforms TAR in the incremental period (CoTAR gains or retains advantage): </w:t>
      </w:r>
      <w:r>
        <w:rPr>
          <w:rFonts w:ascii="Arial" w:cs="Arial" w:eastAsia="Arial" w:hAnsi="Arial"/>
          <w:color w:val="000000"/>
          <w:sz w:val="24"/>
          <w:szCs w:val="24"/>
        </w:rPr>
        <w:t xml:space="preserve">The most economically significant development in the incremental period is the shift of WTI Crude Oil from TAR-dominant (through December 2025) to CoTAR-dominant (through March 2026). Under composite GPR, CoTAR-GPR achieves RMSE of 1.884, beating both TAR-GPR (1.896) and the linear AR benchmark (1.905). This reversal is consistent with the economic rationale: the January–March 2026 period brought sustained high-GPR readings that caused CoTAR’s rolling-percentile threshold to correctly contextualise each monthly observation relative to recent experience, while TAR’s fixed historical boundary — calibrated to the full 2000–2026 sample — incorrectly classified several high-GPR months as “normal” relative to the long-run distribution. Gold (CoTAR-GPRTHREAT RMSE 1.832 vs. TAR 1.880) and Silver (CoTAR-GPRACT RMSE 1.833 vs. TAR 1.884) also register CoTAR advantages in the extended sample. Zinc confirms its CoTAR-GPR dominance (RMSE 2.061 vs. TAR 2.080), reflecting China manufacturing sensitivity to the evolving 2025–2026 geopolitical baseline. Wheat under composite GPR marginally favours CoTAR-GPR (RMSE 2.457 vs. TAR 2.464), and Heating Oil under composite GPR also registers a CoTAR-GPR advantage (RMSE 2.427 vs. TAR 2.451) — both consistent with the composite index’s dual capture of threats and actions being better served by an adaptive boundary during the elevated-GPR early-2026 window.</w:t>
      </w:r>
    </w:p>
    <w:p>
      <w:pPr>
        <w:spacing w:after="160"/>
      </w:pPr>
      <w:r>
        <w:rPr>
          <w:rFonts w:ascii="Arial" w:cs="Arial" w:eastAsia="Arial" w:hAnsi="Arial"/>
          <w:b/>
          <w:bCs/>
          <w:color w:val="000000"/>
          <w:sz w:val="24"/>
          <w:szCs w:val="24"/>
        </w:rPr>
        <w:t xml:space="preserve">Table B.6: TAR vs. CoTAR Incremental Verdict Change — December 2025 to March 2026</w:t>
      </w:r>
    </w:p>
    <w:tbl>
      <w:tblPr>
        <w:tblStyle w:val="TableGrid"/>
        <w:tblW w:w="9360" w:type="dxa"/>
        <w:tblBorders>
          <w:top w:val="single" w:sz="4" w:space="0" w:color="2E75B6"/>
          <w:left w:val="single" w:sz="4" w:space="0" w:color="2E75B6"/>
          <w:bottom w:val="single" w:sz="4" w:space="0" w:color="2E75B6"/>
          <w:right w:val="single" w:sz="4" w:space="0" w:color="2E75B6"/>
          <w:insideH w:val="single" w:sz="4" w:space="0" w:color="D9E2F3"/>
          <w:insideV w:val="single" w:sz="4" w:space="0" w:color="D9E2F3"/>
        </w:tblBorders>
        <w:tblCellMar>
          <w:top w:w="80" w:type="dxa"/>
          <w:left w:w="120" w:type="dxa"/>
          <w:bottom w:w="80" w:type="dxa"/>
          <w:right w:w="120" w:type="dxa"/>
        </w:tblCellMar>
      </w:tblPr>
      <w:tblGrid>
        <w:gridCol w:w="1560"/>
        <w:gridCol w:w="1040"/>
        <w:gridCol w:w="1560"/>
        <w:gridCol w:w="1560"/>
        <w:gridCol w:w="3640"/>
      </w:tblGrid>
      <w:tr>
        <w:trPr>
          <w:trHeight w:val="360"/>
          <w:tblHeader/>
        </w:trPr>
        <w:tc>
          <w:tcPr>
            <w:tcW w:w="1560" w:type="dxa"/>
            <w:shd w:val="clear" w:color="auto" w:fill="1F3864"/>
          </w:tcPr>
          <w:p>
            <w:pPr>
              <w:jc w:val="center"/>
            </w:pPr>
            <w:r>
              <w:rPr>
                <w:rFonts w:ascii="Arial" w:hAnsi="Arial"/>
                <w:b/>
                <w:color w:val="FFFFFF"/>
                <w:sz w:val="18"/>
                <w:szCs w:val="18"/>
              </w:rPr>
              <w:t>Commodity</w:t>
            </w:r>
          </w:p>
        </w:tc>
        <w:tc>
          <w:tcPr>
            <w:tcW w:w="1040" w:type="dxa"/>
            <w:shd w:val="clear" w:color="auto" w:fill="1F3864"/>
          </w:tcPr>
          <w:p>
            <w:pPr>
              <w:jc w:val="center"/>
            </w:pPr>
            <w:r>
              <w:rPr>
                <w:rFonts w:ascii="Arial" w:hAnsi="Arial"/>
                <w:b/>
                <w:color w:val="FFFFFF"/>
                <w:sz w:val="18"/>
                <w:szCs w:val="18"/>
              </w:rPr>
              <w:t>Group</w:t>
            </w:r>
          </w:p>
        </w:tc>
        <w:tc>
          <w:tcPr>
            <w:tcW w:w="1560" w:type="dxa"/>
            <w:shd w:val="clear" w:color="auto" w:fill="1F3864"/>
          </w:tcPr>
          <w:p>
            <w:pPr>
              <w:jc w:val="center"/>
            </w:pPr>
            <w:r>
              <w:rPr>
                <w:rFonts w:ascii="Arial" w:hAnsi="Arial"/>
                <w:b/>
                <w:color w:val="FFFFFF"/>
                <w:sz w:val="18"/>
                <w:szCs w:val="18"/>
              </w:rPr>
              <w:t>Verdict to Dec 2025</w:t>
            </w:r>
          </w:p>
        </w:tc>
        <w:tc>
          <w:tcPr>
            <w:tcW w:w="1560" w:type="dxa"/>
            <w:shd w:val="clear" w:color="auto" w:fill="1F3864"/>
          </w:tcPr>
          <w:p>
            <w:pPr>
              <w:jc w:val="center"/>
            </w:pPr>
            <w:r>
              <w:rPr>
                <w:rFonts w:ascii="Arial" w:hAnsi="Arial"/>
                <w:b/>
                <w:color w:val="FFFFFF"/>
                <w:sz w:val="18"/>
                <w:szCs w:val="18"/>
              </w:rPr>
              <w:t>Verdict to Mar 2026</w:t>
            </w:r>
          </w:p>
        </w:tc>
        <w:tc>
          <w:tcPr>
            <w:tcW w:w="3640" w:type="dxa"/>
            <w:shd w:val="clear" w:color="auto" w:fill="1F3864"/>
          </w:tcPr>
          <w:p>
            <w:pPr>
              <w:jc w:val="center"/>
            </w:pPr>
            <w:r>
              <w:rPr>
                <w:rFonts w:ascii="Arial" w:hAnsi="Arial"/>
                <w:b/>
                <w:color w:val="FFFFFF"/>
                <w:sz w:val="18"/>
                <w:szCs w:val="18"/>
              </w:rPr>
              <w:t>Key Incremental Finding</w:t>
            </w:r>
          </w:p>
        </w:tc>
      </w:tr>
      <w:tr>
        <w:trPr/>
        <w:tc>
          <w:tcPr>
            <w:tcW w:w="1560" w:type="dxa"/>
            <w:shd w:val="clear" w:color="auto" w:fill="D9E2F3"/>
          </w:tcPr>
          <w:p>
            <w:r>
              <w:rPr>
                <w:rFonts w:ascii="Arial" w:hAnsi="Arial"/>
                <w:b/>
                <w:sz w:val="18"/>
                <w:szCs w:val="18"/>
              </w:rPr>
              <w:t>WTI Crude Oil</w:t>
            </w:r>
          </w:p>
        </w:tc>
        <w:tc>
          <w:tcPr>
            <w:tcW w:w="1040" w:type="dxa"/>
            <w:shd w:val="clear" w:color="auto" w:fill="D9E2F3"/>
          </w:tcPr>
          <w:p>
            <w:r>
              <w:rPr>
                <w:rFonts w:ascii="Arial" w:hAnsi="Arial"/>
                <w:sz w:val="18"/>
                <w:szCs w:val="18"/>
              </w:rPr>
              <w:t>Energy</w:t>
            </w:r>
          </w:p>
        </w:tc>
        <w:tc>
          <w:tcPr>
            <w:tcW w:w="1560" w:type="dxa"/>
            <w:shd w:val="clear" w:color="auto" w:fill="D9E2F3"/>
          </w:tcPr>
          <w:p>
            <w:pPr>
              <w:jc w:val="center"/>
            </w:pPr>
            <w:r>
              <w:rPr>
                <w:rFonts w:ascii="Arial" w:hAnsi="Arial"/>
                <w:color w:val="C55A11"/>
                <w:sz w:val="18"/>
                <w:szCs w:val="18"/>
              </w:rPr>
              <w:t>TAR</w:t>
            </w:r>
          </w:p>
        </w:tc>
        <w:tc>
          <w:tcPr>
            <w:tcW w:w="1560" w:type="dxa"/>
            <w:shd w:val="clear" w:color="auto" w:fill="D9E2F3"/>
          </w:tcPr>
          <w:p>
            <w:pPr>
              <w:jc w:val="center"/>
            </w:pPr>
            <w:r>
              <w:rPr>
                <w:rFonts w:ascii="Arial" w:hAnsi="Arial"/>
                <w:color w:val="375623"/>
                <w:sz w:val="18"/>
                <w:szCs w:val="18"/>
              </w:rPr>
              <w:t>CoTAR ↑</w:t>
            </w:r>
          </w:p>
        </w:tc>
        <w:tc>
          <w:tcPr>
            <w:tcW w:w="3640" w:type="dxa"/>
            <w:shd w:val="clear" w:color="auto" w:fill="D9E2F3"/>
          </w:tcPr>
          <w:p>
            <w:r>
              <w:rPr>
                <w:rFonts w:ascii="Arial" w:hAnsi="Arial"/>
                <w:sz w:val="18"/>
                <w:szCs w:val="18"/>
              </w:rPr>
              <w:t>Key verdict reversal: sustained Jan–Mar 2026 high-GPR correctly contextualised by CoTAR rolling quantile; TAR fixed boundary misclassifies new high-GPR months as “normal”</w:t>
            </w:r>
          </w:p>
        </w:tc>
      </w:tr>
      <w:tr>
        <w:tc>
          <w:tcPr>
            <w:tcW w:w="1560" w:type="dxa"/>
          </w:tcPr>
          <w:p>
            <w:r>
              <w:rPr>
                <w:rFonts w:ascii="Arial" w:hAnsi="Arial"/>
                <w:b/>
                <w:sz w:val="18"/>
                <w:szCs w:val="18"/>
              </w:rPr>
              <w:t>Gold</w:t>
            </w:r>
          </w:p>
        </w:tc>
        <w:tc>
          <w:tcPr>
            <w:tcW w:w="1040" w:type="dxa"/>
          </w:tcPr>
          <w:p>
            <w:r>
              <w:rPr>
                <w:rFonts w:ascii="Arial" w:hAnsi="Arial"/>
                <w:sz w:val="18"/>
                <w:szCs w:val="18"/>
              </w:rPr>
              <w:t>Prec. Met.</w:t>
            </w:r>
          </w:p>
        </w:tc>
        <w:tc>
          <w:tcPr>
            <w:tcW w:w="1560" w:type="dxa"/>
          </w:tcPr>
          <w:p>
            <w:pPr>
              <w:jc w:val="center"/>
            </w:pPr>
            <w:r>
              <w:rPr>
                <w:rFonts w:ascii="Arial" w:hAnsi="Arial"/>
                <w:color w:val="595959"/>
                <w:sz w:val="18"/>
                <w:szCs w:val="18"/>
              </w:rPr>
              <w:t>Neither</w:t>
            </w:r>
          </w:p>
        </w:tc>
        <w:tc>
          <w:tcPr>
            <w:tcW w:w="1560" w:type="dxa"/>
          </w:tcPr>
          <w:p>
            <w:pPr>
              <w:jc w:val="center"/>
            </w:pPr>
            <w:r>
              <w:rPr>
                <w:rFonts w:ascii="Arial" w:hAnsi="Arial"/>
                <w:color w:val="375623"/>
                <w:sz w:val="18"/>
                <w:szCs w:val="18"/>
              </w:rPr>
              <w:t>CoTAR ↑</w:t>
            </w:r>
          </w:p>
        </w:tc>
        <w:tc>
          <w:tcPr>
            <w:tcW w:w="3640" w:type="dxa"/>
          </w:tcPr>
          <w:p>
            <w:r>
              <w:rPr>
                <w:rFonts w:ascii="Arial" w:hAnsi="Arial"/>
                <w:sz w:val="18"/>
                <w:szCs w:val="18"/>
              </w:rPr>
              <w:t>CoTAR-GPRTHREAT (1.832) edges TAR (1.880) in extended sample; 2022–2026 safe-haven shift better captured by adaptive threshold</w:t>
            </w:r>
          </w:p>
        </w:tc>
      </w:tr>
      <w:tr>
        <w:trPr/>
        <w:tc>
          <w:tcPr>
            <w:tcW w:w="1560" w:type="dxa"/>
            <w:shd w:val="clear" w:color="auto" w:fill="D9E2F3"/>
          </w:tcPr>
          <w:p>
            <w:r>
              <w:rPr>
                <w:rFonts w:ascii="Arial" w:hAnsi="Arial"/>
                <w:b/>
                <w:sz w:val="18"/>
                <w:szCs w:val="18"/>
              </w:rPr>
              <w:t>Silver</w:t>
            </w:r>
          </w:p>
        </w:tc>
        <w:tc>
          <w:tcPr>
            <w:tcW w:w="1040" w:type="dxa"/>
            <w:shd w:val="clear" w:color="auto" w:fill="D9E2F3"/>
          </w:tcPr>
          <w:p>
            <w:r>
              <w:rPr>
                <w:rFonts w:ascii="Arial" w:hAnsi="Arial"/>
                <w:sz w:val="18"/>
                <w:szCs w:val="18"/>
              </w:rPr>
              <w:t>Prec. Met.</w:t>
            </w:r>
          </w:p>
        </w:tc>
        <w:tc>
          <w:tcPr>
            <w:tcW w:w="1560" w:type="dxa"/>
            <w:shd w:val="clear" w:color="auto" w:fill="D9E2F3"/>
          </w:tcPr>
          <w:p>
            <w:pPr>
              <w:jc w:val="center"/>
            </w:pPr>
            <w:r>
              <w:rPr>
                <w:rFonts w:ascii="Arial" w:hAnsi="Arial"/>
                <w:color w:val="375623"/>
                <w:sz w:val="18"/>
                <w:szCs w:val="18"/>
              </w:rPr>
              <w:t>CoTAR</w:t>
            </w:r>
          </w:p>
        </w:tc>
        <w:tc>
          <w:tcPr>
            <w:tcW w:w="1560" w:type="dxa"/>
            <w:shd w:val="clear" w:color="auto" w:fill="D9E2F3"/>
          </w:tcPr>
          <w:p>
            <w:pPr>
              <w:jc w:val="center"/>
            </w:pPr>
            <w:r>
              <w:rPr>
                <w:rFonts w:ascii="Arial" w:hAnsi="Arial"/>
                <w:color w:val="375623"/>
                <w:sz w:val="18"/>
                <w:szCs w:val="18"/>
              </w:rPr>
              <w:t>CoTAR ↔</w:t>
            </w:r>
          </w:p>
        </w:tc>
        <w:tc>
          <w:tcPr>
            <w:tcW w:w="3640" w:type="dxa"/>
            <w:shd w:val="clear" w:color="auto" w:fill="D9E2F3"/>
          </w:tcPr>
          <w:p>
            <w:r>
              <w:rPr>
                <w:rFonts w:ascii="Arial" w:hAnsi="Arial"/>
                <w:sz w:val="18"/>
                <w:szCs w:val="18"/>
              </w:rPr>
              <w:t>Unchanged: CoTAR-GPRACT (1.833) best overall; dual safe-haven/industrial identity benefits from adaptive threshold in elevated 2026 GPR</w:t>
            </w:r>
          </w:p>
        </w:tc>
      </w:tr>
      <w:tr>
        <w:tc>
          <w:tcPr>
            <w:tcW w:w="1560" w:type="dxa"/>
          </w:tcPr>
          <w:p>
            <w:r>
              <w:rPr>
                <w:rFonts w:ascii="Arial" w:hAnsi="Arial"/>
                <w:b/>
                <w:sz w:val="18"/>
                <w:szCs w:val="18"/>
              </w:rPr>
              <w:t>Zinc</w:t>
            </w:r>
          </w:p>
        </w:tc>
        <w:tc>
          <w:tcPr>
            <w:tcW w:w="1040" w:type="dxa"/>
          </w:tcPr>
          <w:p>
            <w:r>
              <w:rPr>
                <w:rFonts w:ascii="Arial" w:hAnsi="Arial"/>
                <w:sz w:val="18"/>
                <w:szCs w:val="18"/>
              </w:rPr>
              <w:t>Ind. Metal</w:t>
            </w:r>
          </w:p>
        </w:tc>
        <w:tc>
          <w:tcPr>
            <w:tcW w:w="1560" w:type="dxa"/>
          </w:tcPr>
          <w:p>
            <w:pPr>
              <w:jc w:val="center"/>
            </w:pPr>
            <w:r>
              <w:rPr>
                <w:rFonts w:ascii="Arial" w:hAnsi="Arial"/>
                <w:color w:val="375623"/>
                <w:sz w:val="18"/>
                <w:szCs w:val="18"/>
              </w:rPr>
              <w:t>CoTAR</w:t>
            </w:r>
          </w:p>
        </w:tc>
        <w:tc>
          <w:tcPr>
            <w:tcW w:w="1560" w:type="dxa"/>
          </w:tcPr>
          <w:p>
            <w:pPr>
              <w:jc w:val="center"/>
            </w:pPr>
            <w:r>
              <w:rPr>
                <w:rFonts w:ascii="Arial" w:hAnsi="Arial"/>
                <w:color w:val="375623"/>
                <w:sz w:val="18"/>
                <w:szCs w:val="18"/>
              </w:rPr>
              <w:t>CoTAR ↔</w:t>
            </w:r>
          </w:p>
        </w:tc>
        <w:tc>
          <w:tcPr>
            <w:tcW w:w="3640" w:type="dxa"/>
          </w:tcPr>
          <w:p>
            <w:r>
              <w:rPr>
                <w:rFonts w:ascii="Arial" w:hAnsi="Arial"/>
                <w:sz w:val="18"/>
                <w:szCs w:val="18"/>
              </w:rPr>
              <w:t>Unchanged: CoTAR-GPR (2.061) best; China manufacturing sensitivity to 2026 geopolitical baseline well-served by adaptive quantile</w:t>
            </w:r>
          </w:p>
        </w:tc>
      </w:tr>
      <w:tr>
        <w:trPr/>
        <w:tc>
          <w:tcPr>
            <w:tcW w:w="1560" w:type="dxa"/>
            <w:shd w:val="clear" w:color="auto" w:fill="D9E2F3"/>
          </w:tcPr>
          <w:p>
            <w:r>
              <w:rPr>
                <w:rFonts w:ascii="Arial" w:hAnsi="Arial"/>
                <w:b/>
                <w:sz w:val="18"/>
                <w:szCs w:val="18"/>
              </w:rPr>
              <w:t>RBOB Gasoline</w:t>
            </w:r>
          </w:p>
        </w:tc>
        <w:tc>
          <w:tcPr>
            <w:tcW w:w="1040" w:type="dxa"/>
            <w:shd w:val="clear" w:color="auto" w:fill="D9E2F3"/>
          </w:tcPr>
          <w:p>
            <w:r>
              <w:rPr>
                <w:rFonts w:ascii="Arial" w:hAnsi="Arial"/>
                <w:sz w:val="18"/>
                <w:szCs w:val="18"/>
              </w:rPr>
              <w:t>Energy</w:t>
            </w:r>
          </w:p>
        </w:tc>
        <w:tc>
          <w:tcPr>
            <w:tcW w:w="1560" w:type="dxa"/>
            <w:shd w:val="clear" w:color="auto" w:fill="D9E2F3"/>
          </w:tcPr>
          <w:p>
            <w:pPr>
              <w:jc w:val="center"/>
            </w:pPr>
            <w:r>
              <w:rPr>
                <w:rFonts w:ascii="Arial" w:hAnsi="Arial"/>
                <w:color w:val="C55A11"/>
                <w:sz w:val="18"/>
                <w:szCs w:val="18"/>
              </w:rPr>
              <w:t>TAR</w:t>
            </w:r>
          </w:p>
        </w:tc>
        <w:tc>
          <w:tcPr>
            <w:tcW w:w="1560" w:type="dxa"/>
            <w:shd w:val="clear" w:color="auto" w:fill="D9E2F3"/>
          </w:tcPr>
          <w:p>
            <w:pPr>
              <w:jc w:val="center"/>
            </w:pPr>
            <w:r>
              <w:rPr>
                <w:rFonts w:ascii="Arial" w:hAnsi="Arial"/>
                <w:color w:val="C55A11"/>
                <w:sz w:val="18"/>
                <w:szCs w:val="18"/>
              </w:rPr>
              <w:t>TAR ↔</w:t>
            </w:r>
          </w:p>
        </w:tc>
        <w:tc>
          <w:tcPr>
            <w:tcW w:w="3640" w:type="dxa"/>
            <w:shd w:val="clear" w:color="auto" w:fill="D9E2F3"/>
          </w:tcPr>
          <w:p>
            <w:r>
              <w:rPr>
                <w:rFonts w:ascii="Arial" w:hAnsi="Arial"/>
                <w:sz w:val="18"/>
                <w:szCs w:val="18"/>
              </w:rPr>
              <w:t>Unchanged: TAR-GPRACT (1.861) dominant, DM p=0.007***; crack-spread 4-month lag structurally stable; CoTAR adds noise</w:t>
            </w:r>
          </w:p>
        </w:tc>
      </w:tr>
      <w:tr>
        <w:tc>
          <w:tcPr>
            <w:tcW w:w="1560" w:type="dxa"/>
          </w:tcPr>
          <w:p>
            <w:r>
              <w:rPr>
                <w:rFonts w:ascii="Arial" w:hAnsi="Arial"/>
                <w:b/>
                <w:sz w:val="18"/>
                <w:szCs w:val="18"/>
              </w:rPr>
              <w:t>Sweetcorn</w:t>
            </w:r>
          </w:p>
        </w:tc>
        <w:tc>
          <w:tcPr>
            <w:tcW w:w="1040" w:type="dxa"/>
          </w:tcPr>
          <w:p>
            <w:r>
              <w:rPr>
                <w:rFonts w:ascii="Arial" w:hAnsi="Arial"/>
                <w:sz w:val="18"/>
                <w:szCs w:val="18"/>
              </w:rPr>
              <w:t>Agric.</w:t>
            </w:r>
          </w:p>
        </w:tc>
        <w:tc>
          <w:tcPr>
            <w:tcW w:w="1560" w:type="dxa"/>
          </w:tcPr>
          <w:p>
            <w:pPr>
              <w:jc w:val="center"/>
            </w:pPr>
            <w:r>
              <w:rPr>
                <w:rFonts w:ascii="Arial" w:hAnsi="Arial"/>
                <w:color w:val="C55A11"/>
                <w:sz w:val="18"/>
                <w:szCs w:val="18"/>
              </w:rPr>
              <w:t>TAR</w:t>
            </w:r>
          </w:p>
        </w:tc>
        <w:tc>
          <w:tcPr>
            <w:tcW w:w="1560" w:type="dxa"/>
          </w:tcPr>
          <w:p>
            <w:pPr>
              <w:jc w:val="center"/>
            </w:pPr>
            <w:r>
              <w:rPr>
                <w:rFonts w:ascii="Arial" w:hAnsi="Arial"/>
                <w:color w:val="C55A11"/>
                <w:sz w:val="18"/>
                <w:szCs w:val="18"/>
              </w:rPr>
              <w:t>TAR ↔</w:t>
            </w:r>
          </w:p>
        </w:tc>
        <w:tc>
          <w:tcPr>
            <w:tcW w:w="3640" w:type="dxa"/>
          </w:tcPr>
          <w:p>
            <w:r>
              <w:rPr>
                <w:rFonts w:ascii="Arial" w:hAnsi="Arial"/>
                <w:sz w:val="18"/>
                <w:szCs w:val="18"/>
              </w:rPr>
              <w:t>Unchanged: TAR-GPRTHREAT (2.157) dominant, DM p=0.034**; seasonal agricultural supply dominates over time-varying GPR regime</w:t>
            </w:r>
          </w:p>
        </w:tc>
      </w:tr>
      <w:tr>
        <w:trPr/>
        <w:tc>
          <w:tcPr>
            <w:tcW w:w="1560" w:type="dxa"/>
            <w:shd w:val="clear" w:color="auto" w:fill="D9E2F3"/>
          </w:tcPr>
          <w:p>
            <w:r>
              <w:rPr>
                <w:rFonts w:ascii="Arial" w:hAnsi="Arial"/>
                <w:b/>
                <w:sz w:val="18"/>
                <w:szCs w:val="18"/>
              </w:rPr>
              <w:t>Heating Oil</w:t>
            </w:r>
          </w:p>
        </w:tc>
        <w:tc>
          <w:tcPr>
            <w:tcW w:w="1040" w:type="dxa"/>
            <w:shd w:val="clear" w:color="auto" w:fill="D9E2F3"/>
          </w:tcPr>
          <w:p>
            <w:r>
              <w:rPr>
                <w:rFonts w:ascii="Arial" w:hAnsi="Arial"/>
                <w:sz w:val="18"/>
                <w:szCs w:val="18"/>
              </w:rPr>
              <w:t>Energy</w:t>
            </w:r>
          </w:p>
        </w:tc>
        <w:tc>
          <w:tcPr>
            <w:tcW w:w="1560" w:type="dxa"/>
            <w:shd w:val="clear" w:color="auto" w:fill="D9E2F3"/>
          </w:tcPr>
          <w:p>
            <w:pPr>
              <w:jc w:val="center"/>
            </w:pPr>
            <w:r>
              <w:rPr>
                <w:rFonts w:ascii="Arial" w:hAnsi="Arial"/>
                <w:color w:val="7030A0"/>
                <w:sz w:val="18"/>
                <w:szCs w:val="18"/>
              </w:rPr>
              <w:t>Mixed</w:t>
            </w:r>
          </w:p>
        </w:tc>
        <w:tc>
          <w:tcPr>
            <w:tcW w:w="1560" w:type="dxa"/>
            <w:shd w:val="clear" w:color="auto" w:fill="D9E2F3"/>
          </w:tcPr>
          <w:p>
            <w:pPr>
              <w:jc w:val="center"/>
            </w:pPr>
            <w:r>
              <w:rPr>
                <w:rFonts w:ascii="Arial" w:hAnsi="Arial"/>
                <w:color w:val="7030A0"/>
                <w:sz w:val="18"/>
                <w:szCs w:val="18"/>
              </w:rPr>
              <w:t>Mixed ↔</w:t>
            </w:r>
          </w:p>
        </w:tc>
        <w:tc>
          <w:tcPr>
            <w:tcW w:w="3640" w:type="dxa"/>
            <w:shd w:val="clear" w:color="auto" w:fill="D9E2F3"/>
          </w:tcPr>
          <w:p>
            <w:r>
              <w:rPr>
                <w:rFonts w:ascii="Arial" w:hAnsi="Arial"/>
                <w:sz w:val="18"/>
                <w:szCs w:val="18"/>
              </w:rPr>
              <w:t>Unchanged: CoTAR-GPR (2.427) best under composite; TAR-GPRTHREAT (2.468) confirmed over CoTAR (2.560) by DM p=0.074*; GPR variant determines winner</w:t>
            </w:r>
          </w:p>
        </w:tc>
      </w:tr>
      <w:tr>
        <w:tc>
          <w:tcPr>
            <w:tcW w:w="1560" w:type="dxa"/>
          </w:tcPr>
          <w:p>
            <w:r>
              <w:rPr>
                <w:rFonts w:ascii="Arial" w:hAnsi="Arial"/>
                <w:b/>
                <w:sz w:val="18"/>
                <w:szCs w:val="18"/>
              </w:rPr>
              <w:t>Wheat</w:t>
            </w:r>
          </w:p>
        </w:tc>
        <w:tc>
          <w:tcPr>
            <w:tcW w:w="1040" w:type="dxa"/>
          </w:tcPr>
          <w:p>
            <w:r>
              <w:rPr>
                <w:rFonts w:ascii="Arial" w:hAnsi="Arial"/>
                <w:sz w:val="18"/>
                <w:szCs w:val="18"/>
              </w:rPr>
              <w:t>Agric.</w:t>
            </w:r>
          </w:p>
        </w:tc>
        <w:tc>
          <w:tcPr>
            <w:tcW w:w="1560" w:type="dxa"/>
          </w:tcPr>
          <w:p>
            <w:pPr>
              <w:jc w:val="center"/>
            </w:pPr>
            <w:r>
              <w:rPr>
                <w:rFonts w:ascii="Arial" w:hAnsi="Arial"/>
                <w:color w:val="7030A0"/>
                <w:sz w:val="18"/>
                <w:szCs w:val="18"/>
              </w:rPr>
              <w:t>Mixed</w:t>
            </w:r>
          </w:p>
        </w:tc>
        <w:tc>
          <w:tcPr>
            <w:tcW w:w="1560" w:type="dxa"/>
          </w:tcPr>
          <w:p>
            <w:pPr>
              <w:jc w:val="center"/>
            </w:pPr>
            <w:r>
              <w:rPr>
                <w:rFonts w:ascii="Arial" w:hAnsi="Arial"/>
                <w:color w:val="7030A0"/>
                <w:sz w:val="18"/>
                <w:szCs w:val="18"/>
              </w:rPr>
              <w:t>Mixed ↔</w:t>
            </w:r>
          </w:p>
        </w:tc>
        <w:tc>
          <w:tcPr>
            <w:tcW w:w="3640" w:type="dxa"/>
          </w:tcPr>
          <w:p>
            <w:r>
              <w:rPr>
                <w:rFonts w:ascii="Arial" w:hAnsi="Arial"/>
                <w:sz w:val="18"/>
                <w:szCs w:val="18"/>
              </w:rPr>
              <w:t>Unchanged: CoTAR-GPR (2.457) best overall; TAR dominant under GPRACT (DM p=0.019**); GPR variant remains the deciding factor</w:t>
            </w:r>
          </w:p>
        </w:tc>
      </w:tr>
    </w:tbl>
    <w:p>
      <w:pPr>
        <w:spacing w:after="80"/>
      </w:pPr>
      <w:r>
        <w:rPr>
          <w:rFonts w:ascii="Arial" w:cs="Arial" w:eastAsia="Arial" w:hAnsi="Arial"/>
          <w:i/>
          <w:iCs/>
          <w:color w:val="595959"/>
          <w:sz w:val="18"/>
          <w:szCs w:val="18"/>
        </w:rPr>
        <w:t xml:space="preserve">Table B.6: Verdict changes from December 2025 to March 2026 across eight representative commodities. ↑ = verdict shifted to CoTAR; ↔ = verdict unchanged. Colour coding: Green = CoTAR; Orange = TAR; Purple = Mixed. All verdicts based on lowest RMSE across majority of GPR variants and/or DM test significance. Source: Table B.3 and B.4 (March 2026 report) vs. companion December 2025 report.</w:t>
      </w:r>
    </w:p>
    <w:p>
      <w:pPr>
        <w:spacing w:after="120"/>
      </w:pPr>
      <w:r>
        <w:rPr>
          <w:rFonts w:ascii="Arial" w:cs="Arial" w:eastAsia="Arial" w:hAnsi="Arial"/>
          <w:b/>
          <w:bCs/>
          <w:color w:val="000000"/>
          <w:sz w:val="24"/>
          <w:szCs w:val="24"/>
        </w:rPr>
        <w:t xml:space="preserve">Meta-finding for the incremental period: </w:t>
      </w:r>
      <w:r>
        <w:rPr>
          <w:rFonts w:ascii="Arial" w:cs="Arial" w:eastAsia="Arial" w:hAnsi="Arial"/>
          <w:color w:val="000000"/>
          <w:sz w:val="24"/>
          <w:szCs w:val="24"/>
        </w:rPr>
        <w:t xml:space="preserve">The January–March 2026 extension produces one clear verdict reversal (WTI Crude Oil: TAR → CoTAR) and reinforces existing verdicts for the remaining seven commodities examined. The reversal in WTI is the most economically significant: it reflects that the post-2022 elevated-GPR era has shifted the structural level of the composite GPR series sufficiently that CoTAR’s rolling-percentile threshold now consistently outperforms TAR’s fixed global-sample boundary. For commodities with structurally stable GPR regime boundaries — particularly RBOB Gasoline (crack-spread lag) and Sweetcorn (seasonal supply) — the additional data confirms TAR’s OOS advantage without any sign of erosion. The practical implication: practitioners using this analysis in 2026 should prioritise CoTAR for WTI Oil monitoring and reserve TAR for refined energy products and seasonal agricultural markets.</w:t>
      </w:r>
    </w:p>
    <w:p>
      <w:pPr>
        <w:spacing w:after="0" w:before="0"/>
      </w:pPr>
      <w:r>
        <w:br w:type="page"/>
      </w:r>
    </w:p>
    <w:p>
      <w:pPr>
        <w:pStyle w:val="Heading1"/>
        <w:spacing w:after="180" w:before="360"/>
      </w:pPr>
      <w:r>
        <w:rPr>
          <w:rFonts w:ascii="Arial" w:cs="Arial" w:eastAsia="Arial" w:hAnsi="Arial"/>
          <w:b/>
          <w:bCs/>
          <w:color w:val="1F3864"/>
          <w:sz w:val="32"/>
          <w:szCs w:val="32"/>
        </w:rPr>
        <w:t xml:space="preserve">C. Synthesis: Framework Agreement and Policy Implications</w:t>
      </w:r>
    </w:p>
    <w:p>
      <w:pPr>
        <w:pStyle w:val="Heading2"/>
        <w:spacing w:after="120" w:before="240"/>
      </w:pPr>
      <w:r>
        <w:rPr>
          <w:rFonts w:ascii="Arial" w:cs="Arial" w:eastAsia="Arial" w:hAnsi="Arial"/>
          <w:b/>
          <w:bCs/>
          <w:color w:val="2E75B6"/>
          <w:sz w:val="26"/>
          <w:szCs w:val="26"/>
        </w:rPr>
        <w:t xml:space="preserve">C.1 GPR Sub-Index Selection Guide</w:t>
      </w:r>
    </w:p>
    <w:p>
      <w:pPr>
        <w:spacing w:after="60" w:before="60"/>
        <w:jc w:val="both"/>
      </w:pPr>
      <w:r>
        <w:rPr>
          <w:rFonts w:ascii="Arial" w:cs="Arial" w:eastAsia="Arial" w:hAnsi="Arial"/>
          <w:sz w:val="22"/>
          <w:szCs w:val="22"/>
        </w:rPr>
        <w:t xml:space="preserve">Integrating the EGARCH evidence from Section A and the CoTAR/TAR evidence from Section B, Table C.1 provides a practical guide to GPR sub-index selection for commodity market analysis.</w:t>
      </w:r>
    </w:p>
    <w:p>
      <w:pPr>
        <w:spacing w:after="20" w:before="20"/>
      </w:pPr>
      <w:r>
        <w:t xml:space="preserve"/>
      </w:r>
    </w:p>
    <w:p>
      <w:pPr>
        <w:spacing w:after="60" w:before="60"/>
      </w:pPr>
      <w:r>
        <w:rPr>
          <w:rFonts w:ascii="Arial" w:cs="Arial" w:eastAsia="Arial" w:hAnsi="Arial"/>
          <w:b/>
          <w:bCs/>
          <w:sz w:val="20"/>
          <w:szCs w:val="20"/>
        </w:rPr>
        <w:t xml:space="preserve">Table C.1: Practical GPR Sub-Index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GPR Variant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EGARCH Strongest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CoTAR Strongest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 When…</w:t>
            </w:r>
          </w:p>
        </w:tc>
      </w:tr>
      <w:tr>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Composite GPR</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Wheat, Soybean, Cotton, Zinc, Lead</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Wheat*, Zinc***</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Commodity has balanced dual exposure to both threats and actions; neither sub-index alone provides sufficient signal</w:t>
            </w:r>
          </w:p>
        </w:tc>
      </w:tr>
      <w:tr>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GPRTHREAT</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Gold***, Silver***, WTI Oil, Brent Oil</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Soybean**, Zinc*, WTI Oil**</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Commodity responds to threat-level uncertainty; market mechanism involves forward pricing (safe-havens, US-China trade-sensitive, oil threat build-ups)</w:t>
            </w:r>
          </w:p>
        </w:tc>
      </w:tr>
      <w:tr>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18"/>
                <w:szCs w:val="18"/>
              </w:rPr>
              <w:t xml:space="preserve">GPRACT</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WTI Oil*, Natural Gas*, Nickel, Silver</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WTI Oil***, Platinum***, Cotton**</w:t>
            </w:r>
          </w:p>
        </w:tc>
        <w:tc>
          <w:tcPr>
            <w:gridSpan w:val="1"/>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18"/>
                <w:szCs w:val="18"/>
              </w:rPr>
              <w:t xml:space="preserve">Commodity has direct physical supply linkage to conflict zones; use for scenario analysis and stress-testing; OOS instability warrants caution in rolling-window strategies</w:t>
            </w:r>
          </w:p>
        </w:tc>
      </w:tr>
    </w:tbl>
    <w:p>
      <w:pPr>
        <w:spacing w:after="120" w:before="40"/>
        <w:jc w:val="center"/>
      </w:pPr>
      <w:r>
        <w:rPr>
          <w:rFonts w:ascii="Arial" w:cs="Arial" w:eastAsia="Arial" w:hAnsi="Arial"/>
          <w:i/>
          <w:iCs/>
          <w:color w:val="595959"/>
          <w:sz w:val="18"/>
          <w:szCs w:val="18"/>
        </w:rPr>
        <w:t xml:space="preserve">Based on combined EGARCH and CoTAR/TAR evidence across all 18 commodities. Significance markers indicate strength of evidence from the respective framework.</w:t>
      </w:r>
    </w:p>
    <w:p>
      <w:pPr>
        <w:spacing w:after="20" w:before="20"/>
      </w:pPr>
      <w:r>
        <w:t xml:space="preserve"/>
      </w:r>
    </w:p>
    <w:p>
      <w:pPr>
        <w:pStyle w:val="Heading2"/>
        <w:spacing w:after="120" w:before="240"/>
      </w:pPr>
      <w:r>
        <w:rPr>
          <w:rFonts w:ascii="Arial" w:cs="Arial" w:eastAsia="Arial" w:hAnsi="Arial"/>
          <w:b/>
          <w:bCs/>
          <w:color w:val="2E75B6"/>
          <w:sz w:val="26"/>
          <w:szCs w:val="26"/>
        </w:rPr>
        <w:t xml:space="preserve">C.2 Risk Management Implications</w:t>
      </w:r>
    </w:p>
    <w:p>
      <w:pPr>
        <w:spacing w:after="60" w:before="60"/>
        <w:jc w:val="both"/>
      </w:pPr>
      <w:r>
        <w:rPr>
          <w:rFonts w:ascii="Arial" w:cs="Arial" w:eastAsia="Arial" w:hAnsi="Arial"/>
          <w:sz w:val="22"/>
          <w:szCs w:val="22"/>
        </w:rPr>
        <w:t xml:space="preserve">Volatility level forecasting (VaR, options desk): Use EGARCH with the GPR variant producing the most significant δ. For Gold and Silver, incorporate negative δ — VaR should fall, not rise, during high-GPR periods (safe-haven mechanism). For WTI and Brent, use GPRTHREAT for the most stable persistence estimates. For Natural Gas, GPRTHREAT produces the largest amplification signal but also the shortest half-life (~1 day), implying rapid vol spikes that revert quickly.</w:t>
      </w:r>
    </w:p>
    <w:p>
      <w:pPr>
        <w:spacing w:after="60" w:before="60"/>
        <w:jc w:val="both"/>
      </w:pPr>
      <w:r>
        <w:rPr>
          <w:rFonts w:ascii="Arial" w:cs="Arial" w:eastAsia="Arial" w:hAnsi="Arial"/>
          <w:sz w:val="22"/>
          <w:szCs w:val="22"/>
        </w:rPr>
        <w:t xml:space="preserve">Regime-based position sizing (macro hedge funds, systematic CTA): Monitor CoTAR regime signals for WTI Oil (GPRTHREAT/GPRACT), Zinc (GPR), and Platinum (GPRACT). When log(GPR) exceeds the rolling 75th percentile, reduce long exposure and increase hedging for these commodities. Average Regime 2 durations of 2–4 months guide rebalancing frequency.</w:t>
      </w:r>
    </w:p>
    <w:p>
      <w:pPr>
        <w:spacing w:after="60" w:before="60"/>
        <w:jc w:val="both"/>
      </w:pPr>
      <w:r>
        <w:rPr>
          <w:rFonts w:ascii="Arial" w:cs="Arial" w:eastAsia="Arial" w:hAnsi="Arial"/>
          <w:sz w:val="22"/>
          <w:szCs w:val="22"/>
        </w:rPr>
        <w:t xml:space="preserve">Portfolio diversification: The significant commodities under GPRACT (WTI, Zinc, Platinum, Cotton) may simultaneously enter Regime 2 during GPRACT spikes, reducing diversification benefit precisely when geopolitical risk is most acute. The additions of RBOB Gasoline and Heating Oil extend this co-movement analysis: both refined products exhibit positive in-sample GPR sensitivity, suggesting co-movement with crude oil during geopolitical stress episodes.</w:t>
      </w:r>
    </w:p>
    <w:p>
      <w:pPr>
        <w:spacing w:after="60" w:before="60"/>
        <w:jc w:val="both"/>
      </w:pPr>
      <w:r>
        <w:rPr>
          <w:rFonts w:ascii="Arial" w:cs="Arial" w:eastAsia="Arial" w:hAnsi="Arial"/>
          <w:sz w:val="22"/>
          <w:szCs w:val="22"/>
        </w:rPr>
        <w:t xml:space="preserve">Policy monitoring (strategic commodity reserves, trade policy): WTI Oil's GPRACT threshold effects imply that physical geopolitical actions change oil market volatility structure. Reserve drawdown decisions and price stabilisation interventions should be calibrated to realised GPRACT levels, not just threat indices. Wheat and soybean policies need sub-index-specific calibration reflecting their different geopolitical sensitivity channels — composite GPR for Wheat, GPRTHREAT for Soybean.</w:t>
      </w:r>
    </w:p>
    <w:p>
      <w:pPr>
        <w:pStyle w:val="Heading2"/>
        <w:spacing w:after="120" w:before="240"/>
      </w:pPr>
      <w:r>
        <w:rPr>
          <w:rFonts w:ascii="Arial" w:cs="Arial" w:eastAsia="Arial" w:hAnsi="Arial"/>
          <w:b/>
          <w:bCs/>
          <w:color w:val="2E75B6"/>
          <w:sz w:val="26"/>
          <w:szCs w:val="26"/>
        </w:rPr>
        <w:t xml:space="preserve">C.3 Framework Complementarity</w:t>
      </w:r>
    </w:p>
    <w:p>
      <w:pPr>
        <w:spacing w:after="60" w:before="60"/>
        <w:jc w:val="both"/>
      </w:pPr>
      <w:r>
        <w:rPr>
          <w:rFonts w:ascii="Arial" w:cs="Arial" w:eastAsia="Arial" w:hAnsi="Arial"/>
          <w:sz w:val="22"/>
          <w:szCs w:val="22"/>
        </w:rPr>
        <w:t xml:space="preserve">The two frameworks are complementary, not competing. EGARCH captures GPR's continuous effect on conditional variance persistence and shock asymmetry (the δ and γ channels). CoTAR captures whether GPR creates structurally distinct AR volatility regimes. Both are required for a complete picture of geopolitical risk transmission. A commodity such as WTI Oil — significant under both frameworks — requires both EGARCH-based conditional VaR monitoring (for day-to-day risk) and CoTAR-based regime indicators (for medium-term position sizing). A commodity such as Gold — significant under EGARCH but not CoTAR — can be managed using EGARCH-derived VaR with a negative GPR loading, without the need for regime-switching models.</w:t>
      </w:r>
    </w:p>
    <w:p>
      <w:pPr>
        <w:spacing w:after="0" w:before="0"/>
      </w:pPr>
      <w:r>
        <w:br w:type="page"/>
      </w:r>
    </w:p>
    <w:p>
      <w:pPr>
        <w:pStyle w:val="Heading1"/>
        <w:spacing w:after="180" w:before="360"/>
      </w:pPr>
      <w:r>
        <w:rPr>
          <w:rFonts w:ascii="Arial" w:cs="Arial" w:eastAsia="Arial" w:hAnsi="Arial"/>
          <w:b/>
          <w:bCs/>
          <w:color w:val="1F3864"/>
          <w:sz w:val="32"/>
          <w:szCs w:val="32"/>
        </w:rPr>
        <w:t xml:space="preserve">D. References</w:t>
      </w:r>
    </w:p>
    <w:p>
      <w:pPr>
        <w:spacing w:after="60" w:before="60"/>
        <w:jc w:val="both"/>
      </w:pPr>
      <w:r>
        <w:rPr>
          <w:rFonts w:ascii="Arial" w:cs="Arial" w:eastAsia="Arial" w:hAnsi="Arial"/>
          <w:sz w:val="22"/>
          <w:szCs w:val="22"/>
        </w:rPr>
        <w:t xml:space="preserve">Caldara, D., &amp; Iacoviello, M. (2022). Measuring geopolitical risk. American Economic Review, 112(4), 1194–1225.</w:t>
      </w:r>
    </w:p>
    <w:p>
      <w:pPr>
        <w:spacing w:after="60" w:before="60"/>
        <w:jc w:val="both"/>
      </w:pPr>
      <w:r>
        <w:rPr>
          <w:rFonts w:ascii="Arial" w:cs="Arial" w:eastAsia="Arial" w:hAnsi="Arial"/>
          <w:sz w:val="22"/>
          <w:szCs w:val="22"/>
        </w:rPr>
        <w:t xml:space="preserve">Diebold, F.X., &amp; Mariano, R.S. (1995). Comparing predictive accuracy. Journal of Business &amp; Economic Statistics, 13(3), 253–263.</w:t>
      </w:r>
    </w:p>
    <w:p>
      <w:pPr>
        <w:spacing w:after="60" w:before="60"/>
        <w:jc w:val="both"/>
      </w:pPr>
      <w:r>
        <w:rPr>
          <w:rFonts w:ascii="Arial" w:cs="Arial" w:eastAsia="Arial" w:hAnsi="Arial"/>
          <w:sz w:val="22"/>
          <w:szCs w:val="22"/>
        </w:rPr>
        <w:t xml:space="preserve">Hansen, B.E. (1996). Inference when a nuisance parameter is not identified under the null hypothesis. Econometrica, 64(2), 413–430.</w:t>
      </w:r>
    </w:p>
    <w:p>
      <w:pPr>
        <w:spacing w:after="60" w:before="60"/>
        <w:jc w:val="both"/>
      </w:pPr>
      <w:r>
        <w:rPr>
          <w:rFonts w:ascii="Arial" w:cs="Arial" w:eastAsia="Arial" w:hAnsi="Arial"/>
          <w:sz w:val="22"/>
          <w:szCs w:val="22"/>
        </w:rPr>
        <w:t xml:space="preserve">Harvey, D., Leybourne, S., &amp; Newbold, P. (1997). Testing the equality of prediction mean squared errors. International Journal of Forecasting, 13(2), 281–291.</w:t>
      </w:r>
    </w:p>
    <w:p>
      <w:pPr>
        <w:spacing w:after="60" w:before="60"/>
        <w:jc w:val="both"/>
      </w:pPr>
      <w:r>
        <w:rPr>
          <w:rFonts w:ascii="Arial" w:cs="Arial" w:eastAsia="Arial" w:hAnsi="Arial"/>
          <w:sz w:val="22"/>
          <w:szCs w:val="22"/>
        </w:rPr>
        <w:t xml:space="preserve">Motegi, K., Dennis, J.W., &amp; Hamori, S. (2024). Conditional Threshold Autoregression (CoTAR). SSRN Working Paper #3960058.</w:t>
      </w:r>
    </w:p>
    <w:p>
      <w:pPr>
        <w:spacing w:after="60" w:before="60"/>
        <w:jc w:val="both"/>
      </w:pPr>
      <w:r>
        <w:rPr>
          <w:rFonts w:ascii="Arial" w:cs="Arial" w:eastAsia="Arial" w:hAnsi="Arial"/>
          <w:sz w:val="22"/>
          <w:szCs w:val="22"/>
        </w:rPr>
        <w:t xml:space="preserve">Motegi, K., &amp; Hamori, S. (2025). Conditional threshold effects of stock market volatility on crude oil market volatility. Energy Economics, 143, 108189.</w:t>
      </w:r>
    </w:p>
    <w:p>
      <w:pPr>
        <w:spacing w:after="60" w:before="60"/>
        <w:jc w:val="both"/>
      </w:pPr>
      <w:r>
        <w:rPr>
          <w:rFonts w:ascii="Arial" w:cs="Arial" w:eastAsia="Arial" w:hAnsi="Arial"/>
          <w:sz w:val="22"/>
          <w:szCs w:val="22"/>
        </w:rPr>
        <w:t xml:space="preserve">Nelson, D.B. (1991). Conditional heteroskedasticity in asset returns: A new approach. Econometrica, 59(2), 347–370.</w:t>
      </w:r>
    </w:p>
    <w:p>
      <w:pPr>
        <w:spacing w:after="60" w:before="60"/>
        <w:jc w:val="both"/>
      </w:pPr>
      <w:r>
        <w:rPr>
          <w:rFonts w:ascii="Arial" w:cs="Arial" w:eastAsia="Arial" w:hAnsi="Arial"/>
          <w:sz w:val="22"/>
          <w:szCs w:val="22"/>
        </w:rPr>
        <w:t xml:space="preserve">Özdemir, L., Vurur, N.S., Ozen, E., Swiecka, B., &amp; Grima, S. (2025). Volatility modeling of the impact of geopolitical risk on commodity markets. Economies, 13(4), 88.</w:t>
      </w:r>
    </w:p>
    <w:p>
      <w:pPr>
        <w:spacing w:after="60" w:before="60"/>
        <w:jc w:val="both"/>
      </w:pPr>
      <w:r>
        <w:rPr>
          <w:rFonts w:ascii="Arial" w:cs="Arial" w:eastAsia="Arial" w:hAnsi="Arial"/>
          <w:sz w:val="22"/>
          <w:szCs w:val="22"/>
        </w:rPr>
        <w:t xml:space="preserve">Tong, H. (1978). On a threshold model. In C.H. Chen (Ed.), Pattern Recognition and Signal Processing. Sijthoff &amp; Noordhoff, Amsterdam.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EGARCH vs. CoTAR/TAR — Geopolitical Risk and Commodity Volatility — 2000–2026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3f883416c0c9a89ba88d7b025378639ea418af.png"/><Relationship Id="rId10" Type="http://schemas.openxmlformats.org/officeDocument/2006/relationships/image" Target="media/fd62a0683d463cc47d6a5f35acf281064538129a.png"/><Relationship Id="rId11" Type="http://schemas.openxmlformats.org/officeDocument/2006/relationships/image" Target="media/2b05ce13b826441781dfbda4d1c295ad0ef57ea4.png"/><Relationship Id="rId12" Type="http://schemas.openxmlformats.org/officeDocument/2006/relationships/image" Target="media/51baccf235ed6a87268f005e652f026e70bf584d.png"/><Relationship Id="rId13" Type="http://schemas.openxmlformats.org/officeDocument/2006/relationships/image" Target="media/f326b4af854116dbdf3d2dcadfbfdf2fc8e0301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2026-04-15T01:14:49.994Z</dcterms:created>
  <dcterms:modified xsi:type="dcterms:W3CDTF">2026-04-15T01:14:49.996Z</dcterms:modified>
</cp:coreProperties>
</file>

<file path=docProps/custom.xml><?xml version="1.0" encoding="utf-8"?>
<Properties xmlns="http://schemas.openxmlformats.org/officeDocument/2006/custom-properties" xmlns:vt="http://schemas.openxmlformats.org/officeDocument/2006/docPropsVTypes"/>
</file>