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Test de validation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ID 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TV20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Titre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Consulter une UE.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Contexte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utilisateur est connect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,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existe.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Entr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Aucune.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Sc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nario :</w:t>
      </w:r>
      <w:r>
        <w:rPr>
          <w:b w:val="0"/>
          <w:bCs w:val="0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>utilisateur selectionne 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>UE.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sultat attendu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Le syst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me affiche les chapitres que contient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UE.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Moyens de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Visuel.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