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BE3276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BE3276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BE3276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BE3276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BE3276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BE3276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BE3276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BE3276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BE3276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BE3276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BE3276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BE3276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 xml:space="preserve">Cancel subscription call is needed for auto renewal=false case. Trigger to ITSM </w:t>
      </w:r>
      <w:proofErr w:type="gramStart"/>
      <w:r w:rsidR="00C64FA0" w:rsidRPr="00C64FA0">
        <w:t>has to</w:t>
      </w:r>
      <w:proofErr w:type="gramEnd"/>
      <w:r w:rsidR="00C64FA0" w:rsidRPr="00C64FA0">
        <w:t xml:space="preserve">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BE3276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BE3276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BE3276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BE3276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</w:t>
      </w:r>
      <w:proofErr w:type="gramStart"/>
      <w:r w:rsidRPr="00A868A0">
        <w:t>suborder</w:t>
      </w:r>
      <w:proofErr w:type="gramEnd"/>
      <w:r w:rsidRPr="00A868A0">
        <w:t xml:space="preserve">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BE3276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BE3276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 xml:space="preserve">FN-Billing Portal-Newly created profile are pending for approval on billing side hence unable to complete any </w:t>
      </w:r>
      <w:proofErr w:type="gramStart"/>
      <w:r w:rsidRPr="00DF6FB9">
        <w:t>order</w:t>
      </w:r>
      <w:proofErr w:type="gramEnd"/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BE3276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BE3276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BE3276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BE3276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 xml:space="preserve">Billing Portal not </w:t>
      </w:r>
      <w:proofErr w:type="gramStart"/>
      <w:r w:rsidRPr="005B506F">
        <w:t>loading</w:t>
      </w:r>
      <w:proofErr w:type="gramEnd"/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</w:t>
      </w:r>
      <w:r>
        <w:rPr>
          <w:b/>
          <w:bCs/>
        </w:rPr>
        <w:t>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</w:t>
      </w:r>
      <w:r>
        <w:rPr>
          <w:b/>
          <w:bCs/>
        </w:rPr>
        <w:t>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</w:t>
      </w:r>
      <w:r>
        <w:rPr>
          <w:b/>
          <w:bCs/>
        </w:rPr>
        <w:t>81</w:t>
      </w:r>
      <w:r>
        <w:rPr>
          <w:b/>
          <w:bCs/>
        </w:rPr>
        <w:t xml:space="preserve">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Cancel subscription call is needed for auto renewal=false case. Trigger to ITSM </w:t>
      </w:r>
      <w:proofErr w:type="gram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has to</w:t>
      </w:r>
      <w:proofErr w:type="gram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lastRenderedPageBreak/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EC44" w14:textId="77777777" w:rsidR="00C052A5" w:rsidRDefault="00C052A5">
      <w:pPr>
        <w:spacing w:line="240" w:lineRule="auto"/>
      </w:pPr>
      <w:r>
        <w:separator/>
      </w:r>
    </w:p>
  </w:endnote>
  <w:endnote w:type="continuationSeparator" w:id="0">
    <w:p w14:paraId="51592B56" w14:textId="77777777" w:rsidR="00C052A5" w:rsidRDefault="00C05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5EB6" w14:textId="77777777" w:rsidR="00C052A5" w:rsidRDefault="00C052A5">
      <w:pPr>
        <w:spacing w:after="0" w:line="240" w:lineRule="auto"/>
      </w:pPr>
      <w:r>
        <w:separator/>
      </w:r>
    </w:p>
  </w:footnote>
  <w:footnote w:type="continuationSeparator" w:id="0">
    <w:p w14:paraId="50E67B8F" w14:textId="77777777" w:rsidR="00C052A5" w:rsidRDefault="00C05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82660"/>
    <w:rsid w:val="00A8345D"/>
    <w:rsid w:val="00A8689C"/>
    <w:rsid w:val="00A868A0"/>
    <w:rsid w:val="00AB20C0"/>
    <w:rsid w:val="00AC5367"/>
    <w:rsid w:val="00AC73FE"/>
    <w:rsid w:val="00B11CCF"/>
    <w:rsid w:val="00B200A6"/>
    <w:rsid w:val="00B3007E"/>
    <w:rsid w:val="00B539F4"/>
    <w:rsid w:val="00B650D8"/>
    <w:rsid w:val="00B83175"/>
    <w:rsid w:val="00B83C95"/>
    <w:rsid w:val="00B969EC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414F1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26" Type="http://schemas.openxmlformats.org/officeDocument/2006/relationships/hyperlink" Target="https://dev.azure.com/TASMUCP/TASMU%20MSI/_workitems/edit/34362" TargetMode="External"/><Relationship Id="rId39" Type="http://schemas.openxmlformats.org/officeDocument/2006/relationships/hyperlink" Target="https://dev.azure.com/TASMUCP/TASMU%20MSI/_workitems/edit/34145" TargetMode="External"/><Relationship Id="rId21" Type="http://schemas.openxmlformats.org/officeDocument/2006/relationships/hyperlink" Target="https://dev.azure.com/TASMUCP/TASMU%20MSI/_workitems/edit/34540" TargetMode="External"/><Relationship Id="rId34" Type="http://schemas.openxmlformats.org/officeDocument/2006/relationships/hyperlink" Target="https://dev.azure.com/TASMUCP/TASMU%20MSI/_workitems/edit/34842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dev.azure.com/TASMUCP/TASMU%20MSI/_workitems/edit/35503/" TargetMode="Externa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36</Pages>
  <Words>7068</Words>
  <Characters>40291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53</cp:revision>
  <dcterms:created xsi:type="dcterms:W3CDTF">2021-02-24T10:17:00Z</dcterms:created>
  <dcterms:modified xsi:type="dcterms:W3CDTF">2021-04-29T14:07:00Z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