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60"/>
      </w:pPr>
      <w:r>
        <w:t xml:space="preserve"/>
      </w:r>
    </w:p>
    <w:p>
      <w:pPr>
        <w:spacing w:after="60" w:before="60"/>
      </w:pPr>
      <w:r>
        <w:t xml:space="preserve"/>
      </w:r>
    </w:p>
    <w:p>
      <w:pPr>
        <w:spacing w:after="120" w:before="480"/>
        <w:jc w:val="center"/>
      </w:pPr>
      <w:r>
        <w:rPr>
          <w:rFonts w:ascii="Arial" w:cs="Arial" w:eastAsia="Arial" w:hAnsi="Arial"/>
          <w:b/>
          <w:bCs/>
          <w:color w:val="2E4057"/>
          <w:sz w:val="40"/>
          <w:szCs w:val="40"/>
        </w:rPr>
        <w:t xml:space="preserve">Low-Resource Machine Translation:</w:t>
      </w:r>
    </w:p>
    <w:p>
      <w:pPr>
        <w:spacing w:after="240" w:before="0"/>
        <w:jc w:val="center"/>
      </w:pPr>
      <w:r>
        <w:rPr>
          <w:rFonts w:ascii="Arial" w:cs="Arial" w:eastAsia="Arial" w:hAnsi="Arial"/>
          <w:b/>
          <w:bCs/>
          <w:color w:val="2E4057"/>
          <w:sz w:val="36"/>
          <w:szCs w:val="36"/>
        </w:rPr>
        <w:t xml:space="preserve">A Colloquial Tamil to English Translation System</w:t>
      </w:r>
    </w:p>
    <w:p>
      <w:pPr>
        <w:pBdr>
          <w:bottom w:val="single" w:color="4472C4" w:sz="6" w:space="1"/>
        </w:pBdr>
        <w:spacing w:after="320" w:before="0"/>
        <w:jc w:val="center"/>
      </w:pPr>
      <w:r>
        <w:t xml:space="preserve"/>
      </w:r>
    </w:p>
    <w:p>
      <w:pPr>
        <w:spacing w:after="60" w:before="60"/>
      </w:pPr>
      <w:r>
        <w:t xml:space="preserve"/>
      </w:r>
    </w:p>
    <w:p>
      <w:pPr>
        <w:spacing w:after="80" w:before="80"/>
        <w:jc w:val="center"/>
      </w:pPr>
      <w:r>
        <w:rPr>
          <w:rFonts w:ascii="Arial" w:cs="Arial" w:eastAsia="Arial" w:hAnsi="Arial"/>
          <w:i/>
          <w:iCs/>
          <w:color w:val="555555"/>
          <w:sz w:val="26"/>
          <w:szCs w:val="26"/>
        </w:rPr>
        <w:t xml:space="preserve">Project Report</w:t>
      </w:r>
    </w:p>
    <w:p>
      <w:pPr>
        <w:spacing w:after="80" w:before="80"/>
        <w:jc w:val="center"/>
      </w:pPr>
      <w:r>
        <w:rPr>
          <w:rFonts w:ascii="Arial" w:cs="Arial" w:eastAsia="Arial" w:hAnsi="Arial"/>
          <w:color w:val="555555"/>
          <w:sz w:val="24"/>
          <w:szCs w:val="24"/>
        </w:rPr>
        <w:t xml:space="preserve">Department of Artificial Intelligence and Data Science</w:t>
      </w:r>
    </w:p>
    <w:p>
      <w:pPr>
        <w:spacing w:after="80" w:before="80"/>
        <w:jc w:val="center"/>
      </w:pPr>
      <w:r>
        <w:rPr>
          <w:rFonts w:ascii="Arial" w:cs="Arial" w:eastAsia="Arial" w:hAnsi="Arial"/>
          <w:b/>
          <w:bCs/>
          <w:color w:val="2E4057"/>
          <w:sz w:val="24"/>
          <w:szCs w:val="24"/>
        </w:rPr>
        <w:t xml:space="preserve">Paavai College of Engineering</w:t>
      </w:r>
    </w:p>
    <w:p>
      <w:pPr>
        <w:spacing w:after="60" w:before="60"/>
      </w:pPr>
      <w:r>
        <w:t xml:space="preserve"/>
      </w:r>
    </w:p>
    <w:p>
      <w:pPr>
        <w:spacing w:after="80" w:before="80"/>
        <w:jc w:val="center"/>
      </w:pPr>
      <w:r>
        <w:rPr>
          <w:rFonts w:ascii="Arial" w:cs="Arial" w:eastAsia="Arial" w:hAnsi="Arial"/>
          <w:b/>
          <w:bCs/>
          <w:color w:val="2E4057"/>
          <w:sz w:val="24"/>
          <w:szCs w:val="24"/>
        </w:rPr>
        <w:t xml:space="preserve">Ashok Kumar Kathiresan</w:t>
      </w:r>
    </w:p>
    <w:p>
      <w:pPr>
        <w:spacing w:after="80" w:before="80"/>
        <w:jc w:val="center"/>
      </w:pPr>
      <w:r>
        <w:rPr>
          <w:rFonts w:ascii="Arial" w:cs="Arial" w:eastAsia="Arial" w:hAnsi="Arial"/>
          <w:color w:val="555555"/>
          <w:sz w:val="22"/>
          <w:szCs w:val="22"/>
        </w:rPr>
        <w:t xml:space="preserve">ashokkumarkathiresan30@gmail.com  |  9344003481</w:t>
      </w:r>
    </w:p>
    <w:p>
      <w:pPr>
        <w:spacing w:after="80" w:before="80"/>
        <w:jc w:val="center"/>
      </w:pPr>
      <w:r>
        <w:rPr>
          <w:rFonts w:ascii="Arial" w:cs="Arial" w:eastAsia="Arial" w:hAnsi="Arial"/>
          <w:color w:val="555555"/>
          <w:sz w:val="22"/>
          <w:szCs w:val="22"/>
        </w:rPr>
        <w:t xml:space="preserve">2025 – 2026</w:t>
      </w:r>
    </w:p>
    <w:p>
      <w:pPr>
        <w:spacing w:after="60" w:before="60"/>
      </w:pPr>
      <w:r>
        <w:t xml:space="preserve"/>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gridSpan w:val="4"/>
            <w:tcBorders>
              <w:top w:val="single" w:color="4472C4" w:sz="1"/>
              <w:left w:val="single" w:color="4472C4" w:sz="1"/>
              <w:bottom w:val="single" w:color="4472C4" w:sz="1"/>
              <w:right w:val="single" w:color="4472C4" w:sz="1"/>
            </w:tcBorders>
            <w:shd w:fill="2E4057" w:val="clear"/>
            <w:tcMar>
              <w:top w:type="dxa" w:w="100"/>
              <w:left w:type="dxa" w:w="120"/>
              <w:bottom w:type="dxa" w:w="100"/>
              <w:right w:type="dxa" w:w="120"/>
            </w:tcMar>
          </w:tcPr>
          <w:p>
            <w:pPr>
              <w:jc w:val="center"/>
            </w:pPr>
            <w:r>
              <w:rPr>
                <w:rFonts w:ascii="Arial" w:cs="Arial" w:eastAsia="Arial" w:hAnsi="Arial"/>
                <w:b/>
                <w:bCs/>
                <w:color w:val="FFFFFF"/>
                <w:sz w:val="22"/>
                <w:szCs w:val="22"/>
              </w:rPr>
              <w:t xml:space="preserve">Project Highlights</w:t>
            </w:r>
          </w:p>
        </w:tc>
      </w:tr>
      <w:tr>
        <w:tc>
          <w:tcPr>
            <w:tcBorders>
              <w:top w:val="single" w:color="CCCCCC" w:sz="1"/>
              <w:left w:val="single" w:color="CCCCCC" w:sz="1"/>
              <w:bottom w:val="single" w:color="CCCCCC" w:sz="1"/>
              <w:right w:val="single" w:color="CCCCCC" w:sz="1"/>
            </w:tcBorders>
            <w:shd w:fill="EBF0F8" w:val="clear"/>
            <w:tcMar>
              <w:top w:type="dxa" w:w="100"/>
              <w:left w:type="dxa" w:w="120"/>
              <w:bottom w:type="dxa" w:w="100"/>
              <w:right w:type="dxa" w:w="120"/>
            </w:tcMar>
          </w:tcPr>
          <w:p>
            <w:pPr>
              <w:jc w:val="center"/>
            </w:pPr>
            <w:r>
              <w:rPr>
                <w:rFonts w:ascii="Arial" w:cs="Arial" w:eastAsia="Arial" w:hAnsi="Arial"/>
                <w:b/>
                <w:bCs/>
                <w:color w:val="2E4057"/>
                <w:sz w:val="32"/>
                <w:szCs w:val="32"/>
              </w:rPr>
              <w:t xml:space="preserve">27.32</w:t>
            </w:r>
          </w:p>
          <w:p>
            <w:pPr>
              <w:jc w:val="center"/>
            </w:pPr>
            <w:r>
              <w:rPr>
                <w:rFonts w:ascii="Arial" w:cs="Arial" w:eastAsia="Arial" w:hAnsi="Arial"/>
                <w:color w:val="666666"/>
                <w:sz w:val="18"/>
                <w:szCs w:val="18"/>
              </w:rPr>
              <w:t xml:space="preserve">BLEU Score</w:t>
            </w:r>
          </w:p>
        </w:tc>
        <w:tc>
          <w:tcPr>
            <w:tcBorders>
              <w:top w:val="single" w:color="CCCCCC" w:sz="1"/>
              <w:left w:val="single" w:color="CCCCCC" w:sz="1"/>
              <w:bottom w:val="single" w:color="CCCCCC" w:sz="1"/>
              <w:right w:val="single" w:color="CCCCCC" w:sz="1"/>
            </w:tcBorders>
            <w:shd w:fill="EBF0F8" w:val="clear"/>
            <w:tcMar>
              <w:top w:type="dxa" w:w="100"/>
              <w:left w:type="dxa" w:w="120"/>
              <w:bottom w:type="dxa" w:w="100"/>
              <w:right w:type="dxa" w:w="120"/>
            </w:tcMar>
          </w:tcPr>
          <w:p>
            <w:pPr>
              <w:jc w:val="center"/>
            </w:pPr>
            <w:r>
              <w:rPr>
                <w:rFonts w:ascii="Arial" w:cs="Arial" w:eastAsia="Arial" w:hAnsi="Arial"/>
                <w:b/>
                <w:bCs/>
                <w:color w:val="2E4057"/>
                <w:sz w:val="32"/>
                <w:szCs w:val="32"/>
              </w:rPr>
              <w:t xml:space="preserve">510 Pairs</w:t>
            </w:r>
          </w:p>
          <w:p>
            <w:pPr>
              <w:jc w:val="center"/>
            </w:pPr>
            <w:r>
              <w:rPr>
                <w:rFonts w:ascii="Arial" w:cs="Arial" w:eastAsia="Arial" w:hAnsi="Arial"/>
                <w:color w:val="666666"/>
                <w:sz w:val="18"/>
                <w:szCs w:val="18"/>
              </w:rPr>
              <w:t xml:space="preserve">Dataset</w:t>
            </w:r>
          </w:p>
        </w:tc>
        <w:tc>
          <w:tcPr>
            <w:tcBorders>
              <w:top w:val="single" w:color="CCCCCC" w:sz="1"/>
              <w:left w:val="single" w:color="CCCCCC" w:sz="1"/>
              <w:bottom w:val="single" w:color="CCCCCC" w:sz="1"/>
              <w:right w:val="single" w:color="CCCCCC" w:sz="1"/>
            </w:tcBorders>
            <w:shd w:fill="EBF0F8" w:val="clear"/>
            <w:tcMar>
              <w:top w:type="dxa" w:w="100"/>
              <w:left w:type="dxa" w:w="120"/>
              <w:bottom w:type="dxa" w:w="100"/>
              <w:right w:type="dxa" w:w="120"/>
            </w:tcMar>
          </w:tcPr>
          <w:p>
            <w:pPr>
              <w:jc w:val="center"/>
            </w:pPr>
            <w:r>
              <w:rPr>
                <w:rFonts w:ascii="Arial" w:cs="Arial" w:eastAsia="Arial" w:hAnsi="Arial"/>
                <w:b/>
                <w:bCs/>
                <w:color w:val="2E4057"/>
                <w:sz w:val="32"/>
                <w:szCs w:val="32"/>
              </w:rPr>
              <w:t xml:space="preserve">5</w:t>
            </w:r>
          </w:p>
          <w:p>
            <w:pPr>
              <w:jc w:val="center"/>
            </w:pPr>
            <w:r>
              <w:rPr>
                <w:rFonts w:ascii="Arial" w:cs="Arial" w:eastAsia="Arial" w:hAnsi="Arial"/>
                <w:color w:val="666666"/>
                <w:sz w:val="18"/>
                <w:szCs w:val="18"/>
              </w:rPr>
              <w:t xml:space="preserve">Domains</w:t>
            </w:r>
          </w:p>
        </w:tc>
        <w:tc>
          <w:tcPr>
            <w:tcBorders>
              <w:top w:val="single" w:color="CCCCCC" w:sz="1"/>
              <w:left w:val="single" w:color="CCCCCC" w:sz="1"/>
              <w:bottom w:val="single" w:color="CCCCCC" w:sz="1"/>
              <w:right w:val="single" w:color="CCCCCC" w:sz="1"/>
            </w:tcBorders>
            <w:shd w:fill="EBF0F8" w:val="clear"/>
            <w:tcMar>
              <w:top w:type="dxa" w:w="100"/>
              <w:left w:type="dxa" w:w="120"/>
              <w:bottom w:type="dxa" w:w="100"/>
              <w:right w:type="dxa" w:w="120"/>
            </w:tcMar>
          </w:tcPr>
          <w:p>
            <w:pPr>
              <w:jc w:val="center"/>
            </w:pPr>
            <w:r>
              <w:rPr>
                <w:rFonts w:ascii="Arial" w:cs="Arial" w:eastAsia="Arial" w:hAnsi="Arial"/>
                <w:b/>
                <w:bCs/>
                <w:color w:val="2E4057"/>
                <w:sz w:val="32"/>
                <w:szCs w:val="32"/>
              </w:rPr>
              <w:t xml:space="preserve">Live</w:t>
            </w:r>
          </w:p>
          <w:p>
            <w:pPr>
              <w:jc w:val="center"/>
            </w:pPr>
            <w:r>
              <w:rPr>
                <w:rFonts w:ascii="Arial" w:cs="Arial" w:eastAsia="Arial" w:hAnsi="Arial"/>
                <w:color w:val="666666"/>
                <w:sz w:val="18"/>
                <w:szCs w:val="18"/>
              </w:rPr>
              <w:t xml:space="preserve">Demo</w:t>
            </w:r>
          </w:p>
        </w:tc>
      </w:tr>
    </w:tbl>
    <w:p>
      <w:pPr>
        <w:spacing w:after="60" w:before="60"/>
      </w:pPr>
      <w:r>
        <w:t xml:space="preserve"/>
      </w:r>
    </w:p>
    <w:p>
      <w:pPr>
        <w:spacing w:after="60" w:before="60"/>
      </w:pPr>
      <w:r>
        <w:t xml:space="preserve"/>
      </w:r>
    </w:p>
    <w:p>
      <w:pPr>
        <w:spacing w:after="60" w:before="60"/>
      </w:pPr>
      <w:r>
        <w:t xml:space="preserve"/>
      </w:r>
    </w:p>
    <w:p>
      <w:pPr>
        <w:pStyle w:val="Heading1"/>
        <w:spacing w:after="160" w:before="320"/>
      </w:pPr>
      <w:r>
        <w:rPr>
          <w:rFonts w:ascii="Arial" w:cs="Arial" w:eastAsia="Arial" w:hAnsi="Arial"/>
          <w:b/>
          <w:bCs/>
          <w:color w:val="2E4057"/>
          <w:sz w:val="28"/>
          <w:szCs w:val="28"/>
        </w:rPr>
        <w:t xml:space="preserve">Abstract</w:t>
      </w:r>
    </w:p>
    <w:p>
      <w:pPr>
        <w:spacing w:after="80" w:before="80" w:line="360"/>
        <w:jc w:val="both"/>
      </w:pPr>
      <w:r>
        <w:rPr>
          <w:rFonts w:ascii="Arial" w:cs="Arial" w:eastAsia="Arial" w:hAnsi="Arial"/>
          <w:sz w:val="22"/>
          <w:szCs w:val="22"/>
        </w:rPr>
        <w:t xml:space="preserve">This paper presents a low-resource machine translation system for translating colloquial Tamil into English, developed in the Department of Artificial Intelligence and Data Science at Paavai College of Engineering. The system addresses a significant gap in existing natural language processing research: while formal Tamil is reasonably well-represented in multilingual corpora, everyday spoken Tamil — characterised by informal grammar, contracted forms, and code-mixing — remains severely under-resourced. We manually curated a dataset of 510 Tamil-English sentence pairs spanning five everyday domains: conversation, medical, market, school, and transport. We fine-tuned the Helsinki-NLP opus-mt-mul-en model on this dataset and evaluated it using the BLEU metric, achieving a score of 27.32, which places our system in the range of good machine translation performance for a low-resource setting. A live interactive demonstration is hosted at https://huggingface.co/spaces/AshGenX/tamil-mt-demo. Our results demonstrate that domain-specific fine-tuning with a small but carefully curated dataset can produce meaningful translation quality improvements in low-resource scenarios.</w:t>
      </w:r>
    </w:p>
    <w:p>
      <w:pPr>
        <w:spacing w:after="60" w:before="60"/>
      </w:pPr>
      <w:r>
        <w:t xml:space="preserve"/>
      </w:r>
    </w:p>
    <w:p>
      <w:pPr>
        <w:pStyle w:val="Heading1"/>
        <w:spacing w:after="160" w:before="320"/>
      </w:pPr>
      <w:r>
        <w:rPr>
          <w:rFonts w:ascii="Arial" w:cs="Arial" w:eastAsia="Arial" w:hAnsi="Arial"/>
          <w:b/>
          <w:bCs/>
          <w:color w:val="2E4057"/>
          <w:sz w:val="28"/>
          <w:szCs w:val="28"/>
        </w:rPr>
        <w:t xml:space="preserve">1. Introduction</w:t>
      </w:r>
    </w:p>
    <w:p>
      <w:pPr>
        <w:spacing w:after="80" w:before="80" w:line="360"/>
        <w:jc w:val="both"/>
      </w:pPr>
      <w:r>
        <w:rPr>
          <w:rFonts w:ascii="Arial" w:cs="Arial" w:eastAsia="Arial" w:hAnsi="Arial"/>
          <w:sz w:val="22"/>
          <w:szCs w:val="22"/>
        </w:rPr>
        <w:t xml:space="preserve">Machine translation (MT) has witnessed remarkable advances in recent years, largely driven by the availability of large-scale parallel corpora and powerful pre-trained language models. However, these advances have not benefited all languages equally. Languages with limited digital resources — often called low-resource languages — continue to lag behind in translation quality, despite being spoken by hundreds of millions of people worldwide.</w:t>
      </w:r>
    </w:p>
    <w:p>
      <w:pPr>
        <w:spacing w:after="60" w:before="60"/>
      </w:pPr>
      <w:r>
        <w:t xml:space="preserve"/>
      </w:r>
    </w:p>
    <w:p>
      <w:pPr>
        <w:spacing w:after="80" w:before="80" w:line="360"/>
        <w:jc w:val="both"/>
      </w:pPr>
      <w:r>
        <w:rPr>
          <w:rFonts w:ascii="Arial" w:cs="Arial" w:eastAsia="Arial" w:hAnsi="Arial"/>
          <w:sz w:val="22"/>
          <w:szCs w:val="22"/>
        </w:rPr>
        <w:t xml:space="preserve">Tamil is one such language. While it is spoken by over 80 million people across Tamil Nadu, Sri Lanka, Singapore, and diaspora communities worldwide, it remains significantly under-resourced in the context of modern natural language processing. Furthermore, the gap between formal literary Tamil and everyday colloquial spoken Tamil creates an additional challenge: even systems trained on existing Tamil corpora tend to perform poorly on the informal, contracted, and code-mixed language used in daily conversation.</w:t>
      </w:r>
    </w:p>
    <w:p>
      <w:pPr>
        <w:spacing w:after="60" w:before="60"/>
      </w:pPr>
      <w:r>
        <w:t xml:space="preserve"/>
      </w:r>
    </w:p>
    <w:p>
      <w:pPr>
        <w:spacing w:after="80" w:before="80" w:line="360"/>
        <w:jc w:val="both"/>
      </w:pPr>
      <w:r>
        <w:rPr>
          <w:rFonts w:ascii="Arial" w:cs="Arial" w:eastAsia="Arial" w:hAnsi="Arial"/>
          <w:sz w:val="22"/>
          <w:szCs w:val="22"/>
        </w:rPr>
        <w:t xml:space="preserve">This project directly addresses this problem by building a Tamil-to-English machine translation system specifically designed for colloquial, everyday Tamil. Our contributions are as follows:</w:t>
      </w:r>
    </w:p>
    <w:p>
      <w:pPr>
        <w:spacing w:after="60" w:before="60"/>
      </w:pPr>
      <w:r>
        <w:t xml:space="preserve"/>
      </w:r>
    </w:p>
    <w:p>
      <w:pPr>
        <w:spacing w:after="80" w:before="80" w:line="360"/>
        <w:jc w:val="both"/>
      </w:pPr>
      <w:r>
        <w:rPr>
          <w:rFonts w:ascii="Arial" w:cs="Arial" w:eastAsia="Arial" w:hAnsi="Arial"/>
          <w:sz w:val="22"/>
          <w:szCs w:val="22"/>
        </w:rPr>
        <w:t xml:space="preserve">(1) A manually curated dataset of 510 colloquial Tamil-English sentence pairs across five practical domains.</w:t>
      </w:r>
    </w:p>
    <w:p>
      <w:pPr>
        <w:spacing w:after="80" w:before="80" w:line="360"/>
        <w:jc w:val="both"/>
      </w:pPr>
      <w:r>
        <w:rPr>
          <w:rFonts w:ascii="Arial" w:cs="Arial" w:eastAsia="Arial" w:hAnsi="Arial"/>
          <w:sz w:val="22"/>
          <w:szCs w:val="22"/>
        </w:rPr>
        <w:t xml:space="preserve">(2) A fine-tuned neural machine translation model evaluated with a BLEU score of 27.32.</w:t>
      </w:r>
    </w:p>
    <w:p>
      <w:pPr>
        <w:spacing w:after="80" w:before="80" w:line="360"/>
        <w:jc w:val="both"/>
      </w:pPr>
      <w:r>
        <w:rPr>
          <w:rFonts w:ascii="Arial" w:cs="Arial" w:eastAsia="Arial" w:hAnsi="Arial"/>
          <w:sz w:val="22"/>
          <w:szCs w:val="22"/>
        </w:rPr>
        <w:t xml:space="preserve">(3) A publicly accessible live demonstration at https://huggingface.co/spaces/AshGenX/tamil-mt-demo.</w:t>
      </w:r>
    </w:p>
    <w:p>
      <w:pPr>
        <w:spacing w:after="60" w:before="60"/>
      </w:pPr>
      <w:r>
        <w:t xml:space="preserve"/>
      </w:r>
    </w:p>
    <w:p>
      <w:pPr>
        <w:pStyle w:val="Heading1"/>
        <w:spacing w:after="160" w:before="320"/>
      </w:pPr>
      <w:r>
        <w:rPr>
          <w:rFonts w:ascii="Arial" w:cs="Arial" w:eastAsia="Arial" w:hAnsi="Arial"/>
          <w:b/>
          <w:bCs/>
          <w:color w:val="2E4057"/>
          <w:sz w:val="28"/>
          <w:szCs w:val="28"/>
        </w:rPr>
        <w:t xml:space="preserve">2. Related Work</w:t>
      </w:r>
    </w:p>
    <w:p>
      <w:pPr>
        <w:spacing w:after="80" w:before="80" w:line="360"/>
        <w:jc w:val="both"/>
      </w:pPr>
      <w:r>
        <w:rPr>
          <w:rFonts w:ascii="Arial" w:cs="Arial" w:eastAsia="Arial" w:hAnsi="Arial"/>
          <w:sz w:val="22"/>
          <w:szCs w:val="22"/>
        </w:rPr>
        <w:t xml:space="preserve">Low-resource machine translation has been an active area of research in recent years. Several approaches have been proposed to address the data scarcity problem, including transfer learning from high-resource languages, back-translation for data augmentation, and the use of multilingual pre-trained models.</w:t>
      </w:r>
    </w:p>
    <w:p>
      <w:pPr>
        <w:spacing w:after="60" w:before="60"/>
      </w:pPr>
      <w:r>
        <w:t xml:space="preserve"/>
      </w:r>
    </w:p>
    <w:p>
      <w:pPr>
        <w:spacing w:after="80" w:before="80" w:line="360"/>
        <w:jc w:val="both"/>
      </w:pPr>
      <w:r>
        <w:rPr>
          <w:rFonts w:ascii="Arial" w:cs="Arial" w:eastAsia="Arial" w:hAnsi="Arial"/>
          <w:sz w:val="22"/>
          <w:szCs w:val="22"/>
        </w:rPr>
        <w:t xml:space="preserve">The Helsinki-NLP group has released a large collection of Marian-based translation models trained on the OPUS corpus, covering over 1,000 language pairs. Their opus-mt-mul-en model, used in this work, supports translation from multiple languages including Tamil to English and provides a strong pre-trained baseline for fine-tuning.</w:t>
      </w:r>
    </w:p>
    <w:p>
      <w:pPr>
        <w:spacing w:after="60" w:before="60"/>
      </w:pPr>
      <w:r>
        <w:t xml:space="preserve"/>
      </w:r>
    </w:p>
    <w:p>
      <w:pPr>
        <w:spacing w:after="80" w:before="80" w:line="360"/>
        <w:jc w:val="both"/>
      </w:pPr>
      <w:r>
        <w:rPr>
          <w:rFonts w:ascii="Arial" w:cs="Arial" w:eastAsia="Arial" w:hAnsi="Arial"/>
          <w:sz w:val="22"/>
          <w:szCs w:val="22"/>
        </w:rPr>
        <w:t xml:space="preserve">AI4Bharat's IndicTrans2 represents the state of the art for Indian language translation, having been pre-trained on large-scale Indic language corpora. However, accessing and fine-tuning such large models (1 billion parameters) presents practical challenges in resource-constrained settings, making lighter-weight alternatives such as the Helsinki-NLP models more accessible for fine-tuning experiments.</w:t>
      </w:r>
    </w:p>
    <w:p>
      <w:pPr>
        <w:spacing w:after="60" w:before="60"/>
      </w:pPr>
      <w:r>
        <w:t xml:space="preserve"/>
      </w:r>
    </w:p>
    <w:p>
      <w:pPr>
        <w:spacing w:after="80" w:before="80" w:line="360"/>
        <w:jc w:val="both"/>
      </w:pPr>
      <w:r>
        <w:rPr>
          <w:rFonts w:ascii="Arial" w:cs="Arial" w:eastAsia="Arial" w:hAnsi="Arial"/>
          <w:sz w:val="22"/>
          <w:szCs w:val="22"/>
        </w:rPr>
        <w:t xml:space="preserve">Prior work on Tamil NLP has largely focused on formal written Tamil. The colloquial spoken register, which differs substantially in morphology, syntax, and vocabulary, has received comparatively little attention. This project specifically targets that gap.</w:t>
      </w:r>
    </w:p>
    <w:p>
      <w:pPr>
        <w:spacing w:after="60" w:before="60"/>
      </w:pPr>
      <w:r>
        <w:t xml:space="preserve"/>
      </w:r>
    </w:p>
    <w:p>
      <w:pPr>
        <w:pStyle w:val="Heading1"/>
        <w:spacing w:after="160" w:before="320"/>
      </w:pPr>
      <w:r>
        <w:rPr>
          <w:rFonts w:ascii="Arial" w:cs="Arial" w:eastAsia="Arial" w:hAnsi="Arial"/>
          <w:b/>
          <w:bCs/>
          <w:color w:val="2E4057"/>
          <w:sz w:val="28"/>
          <w:szCs w:val="28"/>
        </w:rPr>
        <w:t xml:space="preserve">3. Dataset</w:t>
      </w:r>
    </w:p>
    <w:p>
      <w:pPr>
        <w:pStyle w:val="Heading2"/>
        <w:spacing w:after="120" w:before="240"/>
      </w:pPr>
      <w:r>
        <w:rPr>
          <w:rFonts w:ascii="Arial" w:cs="Arial" w:eastAsia="Arial" w:hAnsi="Arial"/>
          <w:b/>
          <w:bCs/>
          <w:color w:val="4472C4"/>
          <w:sz w:val="24"/>
          <w:szCs w:val="24"/>
        </w:rPr>
        <w:t xml:space="preserve">3.1 Data Collection</w:t>
      </w:r>
    </w:p>
    <w:p>
      <w:pPr>
        <w:spacing w:after="80" w:before="80" w:line="360"/>
        <w:jc w:val="both"/>
      </w:pPr>
      <w:r>
        <w:rPr>
          <w:rFonts w:ascii="Arial" w:cs="Arial" w:eastAsia="Arial" w:hAnsi="Arial"/>
          <w:sz w:val="22"/>
          <w:szCs w:val="22"/>
        </w:rPr>
        <w:t xml:space="preserve">We manually constructed a parallel corpus of 510 Tamil-English sentence pairs. All Tamil sentences were written in colloquial spoken Tamil, reflecting the informal grammar and contracted forms used in everyday conversation. The dataset was divided into five thematic domains to ensure broad coverage of everyday communication scenarios. Table 1 shows the distribution of sentences across domains.</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4360"/>
        <w:gridCol w:w="2500"/>
      </w:tblGrid>
      <w:tr>
        <w:trPr>
          <w:tblHeader/>
        </w:trPr>
        <w:tc>
          <w:tcPr>
            <w:tcBorders>
              <w:top w:val="single" w:color="4472C4" w:sz="1"/>
              <w:left w:val="single" w:color="4472C4" w:sz="1"/>
              <w:bottom w:val="single" w:color="4472C4" w:sz="1"/>
              <w:right w:val="single" w:color="4472C4" w:sz="1"/>
            </w:tcBorders>
            <w:shd w:fill="2E4057"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Domain</w:t>
            </w:r>
          </w:p>
        </w:tc>
        <w:tc>
          <w:tcPr>
            <w:tcBorders>
              <w:top w:val="single" w:color="4472C4" w:sz="1"/>
              <w:left w:val="single" w:color="4472C4" w:sz="1"/>
              <w:bottom w:val="single" w:color="4472C4" w:sz="1"/>
              <w:right w:val="single" w:color="4472C4" w:sz="1"/>
            </w:tcBorders>
            <w:shd w:fill="2E4057"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Example Sentence</w:t>
            </w:r>
          </w:p>
        </w:tc>
        <w:tc>
          <w:tcPr>
            <w:tcBorders>
              <w:top w:val="single" w:color="4472C4" w:sz="1"/>
              <w:left w:val="single" w:color="4472C4" w:sz="1"/>
              <w:bottom w:val="single" w:color="4472C4" w:sz="1"/>
              <w:right w:val="single" w:color="4472C4" w:sz="1"/>
            </w:tcBorders>
            <w:shd w:fill="2E4057"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Count</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Conversation</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நீங்கள் எப்படி இருக்கீங்க? — How are you?</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150</w:t>
            </w:r>
          </w:p>
        </w:tc>
      </w:tr>
      <w:tr>
        <w:tc>
          <w:tcPr>
            <w:tcBorders>
              <w:top w:val="single" w:color="CCCCCC" w:sz="1"/>
              <w:left w:val="single" w:color="CCCCCC" w:sz="1"/>
              <w:bottom w:val="single" w:color="CCCCCC" w:sz="1"/>
              <w:right w:val="single" w:color="CCCCCC" w:sz="1"/>
            </w:tcBorders>
            <w:shd w:fill="EBF0F8" w:val="clear"/>
            <w:tcMar>
              <w:top w:type="dxa" w:w="80"/>
              <w:left w:type="dxa" w:w="120"/>
              <w:bottom w:type="dxa" w:w="80"/>
              <w:right w:type="dxa" w:w="120"/>
            </w:tcMar>
          </w:tcPr>
          <w:p>
            <w:pPr>
              <w:jc w:val="left"/>
            </w:pPr>
            <w:r>
              <w:rPr>
                <w:rFonts w:ascii="Arial" w:cs="Arial" w:eastAsia="Arial" w:hAnsi="Arial"/>
                <w:sz w:val="20"/>
                <w:szCs w:val="20"/>
              </w:rPr>
              <w:t xml:space="preserve">Medical</w:t>
            </w:r>
          </w:p>
        </w:tc>
        <w:tc>
          <w:tcPr>
            <w:tcBorders>
              <w:top w:val="single" w:color="CCCCCC" w:sz="1"/>
              <w:left w:val="single" w:color="CCCCCC" w:sz="1"/>
              <w:bottom w:val="single" w:color="CCCCCC" w:sz="1"/>
              <w:right w:val="single" w:color="CCCCCC" w:sz="1"/>
            </w:tcBorders>
            <w:shd w:fill="EBF0F8" w:val="clear"/>
            <w:tcMar>
              <w:top w:type="dxa" w:w="80"/>
              <w:left w:type="dxa" w:w="120"/>
              <w:bottom w:type="dxa" w:w="80"/>
              <w:right w:type="dxa" w:w="120"/>
            </w:tcMar>
          </w:tcPr>
          <w:p>
            <w:pPr>
              <w:jc w:val="center"/>
            </w:pPr>
            <w:r>
              <w:rPr>
                <w:rFonts w:ascii="Arial" w:cs="Arial" w:eastAsia="Arial" w:hAnsi="Arial"/>
                <w:sz w:val="20"/>
                <w:szCs w:val="20"/>
              </w:rPr>
              <w:t xml:space="preserve">டாக்டர் இப்போ இருக்காங்களா? — Is the doctor available?</w:t>
            </w:r>
          </w:p>
        </w:tc>
        <w:tc>
          <w:tcPr>
            <w:tcBorders>
              <w:top w:val="single" w:color="CCCCCC" w:sz="1"/>
              <w:left w:val="single" w:color="CCCCCC" w:sz="1"/>
              <w:bottom w:val="single" w:color="CCCCCC" w:sz="1"/>
              <w:right w:val="single" w:color="CCCCCC" w:sz="1"/>
            </w:tcBorders>
            <w:shd w:fill="EBF0F8" w:val="clear"/>
            <w:tcMar>
              <w:top w:type="dxa" w:w="80"/>
              <w:left w:type="dxa" w:w="120"/>
              <w:bottom w:type="dxa" w:w="80"/>
              <w:right w:type="dxa" w:w="120"/>
            </w:tcMar>
          </w:tcPr>
          <w:p>
            <w:pPr>
              <w:jc w:val="center"/>
            </w:pPr>
            <w:r>
              <w:rPr>
                <w:rFonts w:ascii="Arial" w:cs="Arial" w:eastAsia="Arial" w:hAnsi="Arial"/>
                <w:sz w:val="20"/>
                <w:szCs w:val="20"/>
              </w:rPr>
              <w:t xml:space="preserve">90</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Market / Shopping</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தக்காளி கிலோ எவ்வளவு? — How much per kg of tomatoes?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90</w:t>
            </w:r>
          </w:p>
        </w:tc>
      </w:tr>
      <w:tr>
        <w:tc>
          <w:tcPr>
            <w:tcBorders>
              <w:top w:val="single" w:color="CCCCCC" w:sz="1"/>
              <w:left w:val="single" w:color="CCCCCC" w:sz="1"/>
              <w:bottom w:val="single" w:color="CCCCCC" w:sz="1"/>
              <w:right w:val="single" w:color="CCCCCC" w:sz="1"/>
            </w:tcBorders>
            <w:shd w:fill="EBF0F8" w:val="clear"/>
            <w:tcMar>
              <w:top w:type="dxa" w:w="80"/>
              <w:left w:type="dxa" w:w="120"/>
              <w:bottom w:type="dxa" w:w="80"/>
              <w:right w:type="dxa" w:w="120"/>
            </w:tcMar>
          </w:tcPr>
          <w:p>
            <w:pPr>
              <w:jc w:val="left"/>
            </w:pPr>
            <w:r>
              <w:rPr>
                <w:rFonts w:ascii="Arial" w:cs="Arial" w:eastAsia="Arial" w:hAnsi="Arial"/>
                <w:sz w:val="20"/>
                <w:szCs w:val="20"/>
              </w:rPr>
              <w:t xml:space="preserve">School / Education</w:t>
            </w:r>
          </w:p>
        </w:tc>
        <w:tc>
          <w:tcPr>
            <w:tcBorders>
              <w:top w:val="single" w:color="CCCCCC" w:sz="1"/>
              <w:left w:val="single" w:color="CCCCCC" w:sz="1"/>
              <w:bottom w:val="single" w:color="CCCCCC" w:sz="1"/>
              <w:right w:val="single" w:color="CCCCCC" w:sz="1"/>
            </w:tcBorders>
            <w:shd w:fill="EBF0F8" w:val="clear"/>
            <w:tcMar>
              <w:top w:type="dxa" w:w="80"/>
              <w:left w:type="dxa" w:w="120"/>
              <w:bottom w:type="dxa" w:w="80"/>
              <w:right w:type="dxa" w:w="120"/>
            </w:tcMar>
          </w:tcPr>
          <w:p>
            <w:pPr>
              <w:jc w:val="center"/>
            </w:pPr>
            <w:r>
              <w:rPr>
                <w:rFonts w:ascii="Arial" w:cs="Arial" w:eastAsia="Arial" w:hAnsi="Arial"/>
                <w:sz w:val="20"/>
                <w:szCs w:val="20"/>
              </w:rPr>
              <w:t xml:space="preserve">நாளைக்கு பரீட்சை இருக்கு. — There is an exam tomorrow.</w:t>
            </w:r>
          </w:p>
        </w:tc>
        <w:tc>
          <w:tcPr>
            <w:tcBorders>
              <w:top w:val="single" w:color="CCCCCC" w:sz="1"/>
              <w:left w:val="single" w:color="CCCCCC" w:sz="1"/>
              <w:bottom w:val="single" w:color="CCCCCC" w:sz="1"/>
              <w:right w:val="single" w:color="CCCCCC" w:sz="1"/>
            </w:tcBorders>
            <w:shd w:fill="EBF0F8" w:val="clear"/>
            <w:tcMar>
              <w:top w:type="dxa" w:w="80"/>
              <w:left w:type="dxa" w:w="120"/>
              <w:bottom w:type="dxa" w:w="80"/>
              <w:right w:type="dxa" w:w="120"/>
            </w:tcMar>
          </w:tcPr>
          <w:p>
            <w:pPr>
              <w:jc w:val="center"/>
            </w:pPr>
            <w:r>
              <w:rPr>
                <w:rFonts w:ascii="Arial" w:cs="Arial" w:eastAsia="Arial" w:hAnsi="Arial"/>
                <w:sz w:val="20"/>
                <w:szCs w:val="20"/>
              </w:rPr>
              <w:t xml:space="preserve">90</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Transport / Travel</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பஸ் ஸ்டாப் எங்க இருக்கு? — Where is the bus stop?</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90</w:t>
            </w:r>
          </w:p>
        </w:tc>
      </w:tr>
      <w:tr>
        <w:tc>
          <w:tcPr>
            <w:tcBorders>
              <w:top w:val="single" w:color="CCCCCC" w:sz="1"/>
              <w:left w:val="single" w:color="CCCCCC" w:sz="1"/>
              <w:bottom w:val="single" w:color="CCCCCC" w:sz="1"/>
              <w:right w:val="single" w:color="CCCCCC" w:sz="1"/>
            </w:tcBorders>
            <w:shd w:fill="EBF0F8" w:val="clear"/>
            <w:tcMar>
              <w:top w:type="dxa" w:w="80"/>
              <w:left w:type="dxa" w:w="120"/>
              <w:bottom w:type="dxa" w:w="80"/>
              <w:right w:type="dxa" w:w="120"/>
            </w:tcMar>
          </w:tcPr>
          <w:p>
            <w:pPr>
              <w:jc w:val="left"/>
            </w:pPr>
            <w:r>
              <w:rPr>
                <w:rFonts w:ascii="Arial" w:cs="Arial" w:eastAsia="Arial" w:hAnsi="Arial"/>
                <w:sz w:val="20"/>
                <w:szCs w:val="20"/>
              </w:rPr>
              <w:t xml:space="preserve">Total</w:t>
            </w:r>
          </w:p>
        </w:tc>
        <w:tc>
          <w:tcPr>
            <w:tcBorders>
              <w:top w:val="single" w:color="CCCCCC" w:sz="1"/>
              <w:left w:val="single" w:color="CCCCCC" w:sz="1"/>
              <w:bottom w:val="single" w:color="CCCCCC" w:sz="1"/>
              <w:right w:val="single" w:color="CCCCCC" w:sz="1"/>
            </w:tcBorders>
            <w:shd w:fill="EBF0F8" w:val="clear"/>
            <w:tcMar>
              <w:top w:type="dxa" w:w="80"/>
              <w:left w:type="dxa" w:w="120"/>
              <w:bottom w:type="dxa" w:w="80"/>
              <w:right w:type="dxa" w:w="120"/>
            </w:tcMar>
          </w:tcPr>
          <w:p>
            <w:pPr>
              <w:jc w:val="center"/>
            </w:pPr>
            <w:r>
              <w:rPr>
                <w:rFonts w:ascii="Arial" w:cs="Arial" w:eastAsia="Arial" w:hAnsi="Arial"/>
                <w:sz w:val="20"/>
                <w:szCs w:val="20"/>
              </w:rPr>
              <w:t xml:space="preserve"/>
            </w:r>
          </w:p>
        </w:tc>
        <w:tc>
          <w:tcPr>
            <w:tcBorders>
              <w:top w:val="single" w:color="CCCCCC" w:sz="1"/>
              <w:left w:val="single" w:color="CCCCCC" w:sz="1"/>
              <w:bottom w:val="single" w:color="CCCCCC" w:sz="1"/>
              <w:right w:val="single" w:color="CCCCCC" w:sz="1"/>
            </w:tcBorders>
            <w:shd w:fill="EBF0F8" w:val="clear"/>
            <w:tcMar>
              <w:top w:type="dxa" w:w="80"/>
              <w:left w:type="dxa" w:w="120"/>
              <w:bottom w:type="dxa" w:w="80"/>
              <w:right w:type="dxa" w:w="120"/>
            </w:tcMar>
          </w:tcPr>
          <w:p>
            <w:pPr>
              <w:jc w:val="center"/>
            </w:pPr>
            <w:r>
              <w:rPr>
                <w:rFonts w:ascii="Arial" w:cs="Arial" w:eastAsia="Arial" w:hAnsi="Arial"/>
                <w:sz w:val="20"/>
                <w:szCs w:val="20"/>
              </w:rPr>
              <w:t xml:space="preserve">510</w:t>
            </w:r>
          </w:p>
        </w:tc>
      </w:tr>
    </w:tbl>
    <w:p>
      <w:pPr>
        <w:spacing w:after="160" w:before="80"/>
        <w:jc w:val="center"/>
      </w:pPr>
      <w:r>
        <w:rPr>
          <w:rFonts w:ascii="Arial" w:cs="Arial" w:eastAsia="Arial" w:hAnsi="Arial"/>
          <w:i/>
          <w:iCs/>
          <w:color w:val="666666"/>
          <w:sz w:val="18"/>
          <w:szCs w:val="18"/>
        </w:rPr>
        <w:t xml:space="preserve">Table 1: Dataset distribution by domain</w:t>
      </w:r>
    </w:p>
    <w:p>
      <w:pPr>
        <w:spacing w:after="60" w:before="60"/>
      </w:pPr>
      <w:r>
        <w:t xml:space="preserve"/>
      </w:r>
    </w:p>
    <w:p>
      <w:pPr>
        <w:pStyle w:val="Heading2"/>
        <w:spacing w:after="120" w:before="240"/>
      </w:pPr>
      <w:r>
        <w:rPr>
          <w:rFonts w:ascii="Arial" w:cs="Arial" w:eastAsia="Arial" w:hAnsi="Arial"/>
          <w:b/>
          <w:bCs/>
          <w:color w:val="4472C4"/>
          <w:sz w:val="24"/>
          <w:szCs w:val="24"/>
        </w:rPr>
        <w:t xml:space="preserve">3.2 Dataset Preprocessing</w:t>
      </w:r>
    </w:p>
    <w:p>
      <w:pPr>
        <w:spacing w:after="80" w:before="80" w:line="360"/>
        <w:jc w:val="both"/>
      </w:pPr>
      <w:r>
        <w:rPr>
          <w:rFonts w:ascii="Arial" w:cs="Arial" w:eastAsia="Arial" w:hAnsi="Arial"/>
          <w:sz w:val="22"/>
          <w:szCs w:val="22"/>
        </w:rPr>
        <w:t xml:space="preserve">The raw dataset was processed using a cleaning pipeline implemented in Python. The pipeline performed: (1) removal of duplicate sentence pairs, (2) stripping of whitespace, (3) removal of pairs with fewer than two characters, and (4) random shuffling to mix domain labels. The cleaned dataset was split into training, development, and test sets in an 80/10/10 ratio — yielding 408 training pairs, 51 development pairs, and 51 test pairs.</w:t>
      </w:r>
    </w:p>
    <w:p>
      <w:pPr>
        <w:spacing w:after="60" w:before="60"/>
      </w:pPr>
      <w:r>
        <w:t xml:space="preserve"/>
      </w:r>
    </w:p>
    <w:p>
      <w:pPr>
        <w:pStyle w:val="Heading1"/>
        <w:spacing w:after="160" w:before="320"/>
      </w:pPr>
      <w:r>
        <w:rPr>
          <w:rFonts w:ascii="Arial" w:cs="Arial" w:eastAsia="Arial" w:hAnsi="Arial"/>
          <w:b/>
          <w:bCs/>
          <w:color w:val="2E4057"/>
          <w:sz w:val="28"/>
          <w:szCs w:val="28"/>
        </w:rPr>
        <w:t xml:space="preserve">4. Methodology</w:t>
      </w:r>
    </w:p>
    <w:p>
      <w:pPr>
        <w:pStyle w:val="Heading2"/>
        <w:spacing w:after="120" w:before="240"/>
      </w:pPr>
      <w:r>
        <w:rPr>
          <w:rFonts w:ascii="Arial" w:cs="Arial" w:eastAsia="Arial" w:hAnsi="Arial"/>
          <w:b/>
          <w:bCs/>
          <w:color w:val="4472C4"/>
          <w:sz w:val="24"/>
          <w:szCs w:val="24"/>
        </w:rPr>
        <w:t xml:space="preserve">4.1 Model Selection</w:t>
      </w:r>
    </w:p>
    <w:p>
      <w:pPr>
        <w:spacing w:after="80" w:before="80" w:line="360"/>
        <w:jc w:val="both"/>
      </w:pPr>
      <w:r>
        <w:rPr>
          <w:rFonts w:ascii="Arial" w:cs="Arial" w:eastAsia="Arial" w:hAnsi="Arial"/>
          <w:sz w:val="22"/>
          <w:szCs w:val="22"/>
        </w:rPr>
        <w:t xml:space="preserve">We selected the Helsinki-NLP opus-mt-mul-en model as our base model. This is a Marian MT encoder-decoder transformer model with approximately 77 million parameters, pre-trained on multilingual-to-English translation data from the OPUS corpus. The model supports Tamil as a source language and English as a target language, making it a suitable foundation for fine-tuning.</w:t>
      </w:r>
    </w:p>
    <w:p>
      <w:pPr>
        <w:spacing w:after="60" w:before="60"/>
      </w:pPr>
      <w:r>
        <w:t xml:space="preserve"/>
      </w:r>
    </w:p>
    <w:p>
      <w:pPr>
        <w:pStyle w:val="Heading2"/>
        <w:spacing w:after="120" w:before="240"/>
      </w:pPr>
      <w:r>
        <w:rPr>
          <w:rFonts w:ascii="Arial" w:cs="Arial" w:eastAsia="Arial" w:hAnsi="Arial"/>
          <w:b/>
          <w:bCs/>
          <w:color w:val="4472C4"/>
          <w:sz w:val="24"/>
          <w:szCs w:val="24"/>
        </w:rPr>
        <w:t xml:space="preserve">4.2 Fine-Tuning Setup</w:t>
      </w:r>
    </w:p>
    <w:p>
      <w:pPr>
        <w:spacing w:after="80" w:before="80" w:line="360"/>
        <w:jc w:val="both"/>
      </w:pPr>
      <w:r>
        <w:rPr>
          <w:rFonts w:ascii="Arial" w:cs="Arial" w:eastAsia="Arial" w:hAnsi="Arial"/>
          <w:sz w:val="22"/>
          <w:szCs w:val="22"/>
        </w:rPr>
        <w:t xml:space="preserve">Fine-tuning was performed on Google Colab using a T4 GPU. We used the HuggingFace Transformers library with the Seq2SeqTrainer API. The training configuration is summarised in Table 2.</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Borders>
              <w:top w:val="single" w:color="4472C4" w:sz="1"/>
              <w:left w:val="single" w:color="4472C4" w:sz="1"/>
              <w:bottom w:val="single" w:color="4472C4" w:sz="1"/>
              <w:right w:val="single" w:color="4472C4" w:sz="1"/>
            </w:tcBorders>
            <w:shd w:fill="2E4057"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Hyperparameter</w:t>
            </w:r>
          </w:p>
        </w:tc>
        <w:tc>
          <w:tcPr>
            <w:tcBorders>
              <w:top w:val="single" w:color="4472C4" w:sz="1"/>
              <w:left w:val="single" w:color="4472C4" w:sz="1"/>
              <w:bottom w:val="single" w:color="4472C4" w:sz="1"/>
              <w:right w:val="single" w:color="4472C4" w:sz="1"/>
            </w:tcBorders>
            <w:shd w:fill="2E4057"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Value</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Base model</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Helsinki-NLP/opus-mt-mul-en</w:t>
            </w:r>
          </w:p>
        </w:tc>
      </w:tr>
      <w:tr>
        <w:tc>
          <w:tcPr>
            <w:tcBorders>
              <w:top w:val="single" w:color="CCCCCC" w:sz="1"/>
              <w:left w:val="single" w:color="CCCCCC" w:sz="1"/>
              <w:bottom w:val="single" w:color="CCCCCC" w:sz="1"/>
              <w:right w:val="single" w:color="CCCCCC" w:sz="1"/>
            </w:tcBorders>
            <w:shd w:fill="EBF0F8" w:val="clear"/>
            <w:tcMar>
              <w:top w:type="dxa" w:w="80"/>
              <w:left w:type="dxa" w:w="120"/>
              <w:bottom w:type="dxa" w:w="80"/>
              <w:right w:type="dxa" w:w="120"/>
            </w:tcMar>
          </w:tcPr>
          <w:p>
            <w:pPr>
              <w:jc w:val="left"/>
            </w:pPr>
            <w:r>
              <w:rPr>
                <w:rFonts w:ascii="Arial" w:cs="Arial" w:eastAsia="Arial" w:hAnsi="Arial"/>
                <w:sz w:val="20"/>
                <w:szCs w:val="20"/>
              </w:rPr>
              <w:t xml:space="preserve">Number of epochs</w:t>
            </w:r>
          </w:p>
        </w:tc>
        <w:tc>
          <w:tcPr>
            <w:tcBorders>
              <w:top w:val="single" w:color="CCCCCC" w:sz="1"/>
              <w:left w:val="single" w:color="CCCCCC" w:sz="1"/>
              <w:bottom w:val="single" w:color="CCCCCC" w:sz="1"/>
              <w:right w:val="single" w:color="CCCCCC" w:sz="1"/>
            </w:tcBorders>
            <w:shd w:fill="EBF0F8" w:val="clear"/>
            <w:tcMar>
              <w:top w:type="dxa" w:w="80"/>
              <w:left w:type="dxa" w:w="120"/>
              <w:bottom w:type="dxa" w:w="80"/>
              <w:right w:type="dxa" w:w="120"/>
            </w:tcMar>
          </w:tcPr>
          <w:p>
            <w:pPr>
              <w:jc w:val="center"/>
            </w:pPr>
            <w:r>
              <w:rPr>
                <w:rFonts w:ascii="Arial" w:cs="Arial" w:eastAsia="Arial" w:hAnsi="Arial"/>
                <w:sz w:val="20"/>
                <w:szCs w:val="20"/>
              </w:rPr>
              <w:t xml:space="preserve">10</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Learning rate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3e-5</w:t>
            </w:r>
          </w:p>
        </w:tc>
      </w:tr>
      <w:tr>
        <w:tc>
          <w:tcPr>
            <w:tcBorders>
              <w:top w:val="single" w:color="CCCCCC" w:sz="1"/>
              <w:left w:val="single" w:color="CCCCCC" w:sz="1"/>
              <w:bottom w:val="single" w:color="CCCCCC" w:sz="1"/>
              <w:right w:val="single" w:color="CCCCCC" w:sz="1"/>
            </w:tcBorders>
            <w:shd w:fill="EBF0F8" w:val="clear"/>
            <w:tcMar>
              <w:top w:type="dxa" w:w="80"/>
              <w:left w:type="dxa" w:w="120"/>
              <w:bottom w:type="dxa" w:w="80"/>
              <w:right w:type="dxa" w:w="120"/>
            </w:tcMar>
          </w:tcPr>
          <w:p>
            <w:pPr>
              <w:jc w:val="left"/>
            </w:pPr>
            <w:r>
              <w:rPr>
                <w:rFonts w:ascii="Arial" w:cs="Arial" w:eastAsia="Arial" w:hAnsi="Arial"/>
                <w:sz w:val="20"/>
                <w:szCs w:val="20"/>
              </w:rPr>
              <w:t xml:space="preserve">Batch size (train)</w:t>
            </w:r>
          </w:p>
        </w:tc>
        <w:tc>
          <w:tcPr>
            <w:tcBorders>
              <w:top w:val="single" w:color="CCCCCC" w:sz="1"/>
              <w:left w:val="single" w:color="CCCCCC" w:sz="1"/>
              <w:bottom w:val="single" w:color="CCCCCC" w:sz="1"/>
              <w:right w:val="single" w:color="CCCCCC" w:sz="1"/>
            </w:tcBorders>
            <w:shd w:fill="EBF0F8" w:val="clear"/>
            <w:tcMar>
              <w:top w:type="dxa" w:w="80"/>
              <w:left w:type="dxa" w:w="120"/>
              <w:bottom w:type="dxa" w:w="80"/>
              <w:right w:type="dxa" w:w="120"/>
            </w:tcMar>
          </w:tcPr>
          <w:p>
            <w:pPr>
              <w:jc w:val="center"/>
            </w:pPr>
            <w:r>
              <w:rPr>
                <w:rFonts w:ascii="Arial" w:cs="Arial" w:eastAsia="Arial" w:hAnsi="Arial"/>
                <w:sz w:val="20"/>
                <w:szCs w:val="20"/>
              </w:rPr>
              <w:t xml:space="preserve">16</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Batch size (eval)</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16</w:t>
            </w:r>
          </w:p>
        </w:tc>
      </w:tr>
      <w:tr>
        <w:tc>
          <w:tcPr>
            <w:tcBorders>
              <w:top w:val="single" w:color="CCCCCC" w:sz="1"/>
              <w:left w:val="single" w:color="CCCCCC" w:sz="1"/>
              <w:bottom w:val="single" w:color="CCCCCC" w:sz="1"/>
              <w:right w:val="single" w:color="CCCCCC" w:sz="1"/>
            </w:tcBorders>
            <w:shd w:fill="EBF0F8" w:val="clear"/>
            <w:tcMar>
              <w:top w:type="dxa" w:w="80"/>
              <w:left w:type="dxa" w:w="120"/>
              <w:bottom w:type="dxa" w:w="80"/>
              <w:right w:type="dxa" w:w="120"/>
            </w:tcMar>
          </w:tcPr>
          <w:p>
            <w:pPr>
              <w:jc w:val="left"/>
            </w:pPr>
            <w:r>
              <w:rPr>
                <w:rFonts w:ascii="Arial" w:cs="Arial" w:eastAsia="Arial" w:hAnsi="Arial"/>
                <w:sz w:val="20"/>
                <w:szCs w:val="20"/>
              </w:rPr>
              <w:t xml:space="preserve">Warmup steps</w:t>
            </w:r>
          </w:p>
        </w:tc>
        <w:tc>
          <w:tcPr>
            <w:tcBorders>
              <w:top w:val="single" w:color="CCCCCC" w:sz="1"/>
              <w:left w:val="single" w:color="CCCCCC" w:sz="1"/>
              <w:bottom w:val="single" w:color="CCCCCC" w:sz="1"/>
              <w:right w:val="single" w:color="CCCCCC" w:sz="1"/>
            </w:tcBorders>
            <w:shd w:fill="EBF0F8" w:val="clear"/>
            <w:tcMar>
              <w:top w:type="dxa" w:w="80"/>
              <w:left w:type="dxa" w:w="120"/>
              <w:bottom w:type="dxa" w:w="80"/>
              <w:right w:type="dxa" w:w="120"/>
            </w:tcMar>
          </w:tcPr>
          <w:p>
            <w:pPr>
              <w:jc w:val="center"/>
            </w:pPr>
            <w:r>
              <w:rPr>
                <w:rFonts w:ascii="Arial" w:cs="Arial" w:eastAsia="Arial" w:hAnsi="Arial"/>
                <w:sz w:val="20"/>
                <w:szCs w:val="20"/>
              </w:rPr>
              <w:t xml:space="preserve">200</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Weight decay</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0.01</w:t>
            </w:r>
          </w:p>
        </w:tc>
      </w:tr>
      <w:tr>
        <w:tc>
          <w:tcPr>
            <w:tcBorders>
              <w:top w:val="single" w:color="CCCCCC" w:sz="1"/>
              <w:left w:val="single" w:color="CCCCCC" w:sz="1"/>
              <w:bottom w:val="single" w:color="CCCCCC" w:sz="1"/>
              <w:right w:val="single" w:color="CCCCCC" w:sz="1"/>
            </w:tcBorders>
            <w:shd w:fill="EBF0F8" w:val="clear"/>
            <w:tcMar>
              <w:top w:type="dxa" w:w="80"/>
              <w:left w:type="dxa" w:w="120"/>
              <w:bottom w:type="dxa" w:w="80"/>
              <w:right w:type="dxa" w:w="120"/>
            </w:tcMar>
          </w:tcPr>
          <w:p>
            <w:pPr>
              <w:jc w:val="left"/>
            </w:pPr>
            <w:r>
              <w:rPr>
                <w:rFonts w:ascii="Arial" w:cs="Arial" w:eastAsia="Arial" w:hAnsi="Arial"/>
                <w:sz w:val="20"/>
                <w:szCs w:val="20"/>
              </w:rPr>
              <w:t xml:space="preserve">Max sequence length</w:t>
            </w:r>
          </w:p>
        </w:tc>
        <w:tc>
          <w:tcPr>
            <w:tcBorders>
              <w:top w:val="single" w:color="CCCCCC" w:sz="1"/>
              <w:left w:val="single" w:color="CCCCCC" w:sz="1"/>
              <w:bottom w:val="single" w:color="CCCCCC" w:sz="1"/>
              <w:right w:val="single" w:color="CCCCCC" w:sz="1"/>
            </w:tcBorders>
            <w:shd w:fill="EBF0F8" w:val="clear"/>
            <w:tcMar>
              <w:top w:type="dxa" w:w="80"/>
              <w:left w:type="dxa" w:w="120"/>
              <w:bottom w:type="dxa" w:w="80"/>
              <w:right w:type="dxa" w:w="120"/>
            </w:tcMar>
          </w:tcPr>
          <w:p>
            <w:pPr>
              <w:jc w:val="center"/>
            </w:pPr>
            <w:r>
              <w:rPr>
                <w:rFonts w:ascii="Arial" w:cs="Arial" w:eastAsia="Arial" w:hAnsi="Arial"/>
                <w:sz w:val="20"/>
                <w:szCs w:val="20"/>
              </w:rPr>
              <w:t xml:space="preserve">128 tokens</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Hardware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NVIDIA T4 GPU (Google Colab)</w:t>
            </w:r>
          </w:p>
        </w:tc>
      </w:tr>
      <w:tr>
        <w:tc>
          <w:tcPr>
            <w:tcBorders>
              <w:top w:val="single" w:color="CCCCCC" w:sz="1"/>
              <w:left w:val="single" w:color="CCCCCC" w:sz="1"/>
              <w:bottom w:val="single" w:color="CCCCCC" w:sz="1"/>
              <w:right w:val="single" w:color="CCCCCC" w:sz="1"/>
            </w:tcBorders>
            <w:shd w:fill="EBF0F8" w:val="clear"/>
            <w:tcMar>
              <w:top w:type="dxa" w:w="80"/>
              <w:left w:type="dxa" w:w="120"/>
              <w:bottom w:type="dxa" w:w="80"/>
              <w:right w:type="dxa" w:w="120"/>
            </w:tcMar>
          </w:tcPr>
          <w:p>
            <w:pPr>
              <w:jc w:val="left"/>
            </w:pPr>
            <w:r>
              <w:rPr>
                <w:rFonts w:ascii="Arial" w:cs="Arial" w:eastAsia="Arial" w:hAnsi="Arial"/>
                <w:sz w:val="20"/>
                <w:szCs w:val="20"/>
              </w:rPr>
              <w:t xml:space="preserve">Training time</w:t>
            </w:r>
          </w:p>
        </w:tc>
        <w:tc>
          <w:tcPr>
            <w:tcBorders>
              <w:top w:val="single" w:color="CCCCCC" w:sz="1"/>
              <w:left w:val="single" w:color="CCCCCC" w:sz="1"/>
              <w:bottom w:val="single" w:color="CCCCCC" w:sz="1"/>
              <w:right w:val="single" w:color="CCCCCC" w:sz="1"/>
            </w:tcBorders>
            <w:shd w:fill="EBF0F8" w:val="clear"/>
            <w:tcMar>
              <w:top w:type="dxa" w:w="80"/>
              <w:left w:type="dxa" w:w="120"/>
              <w:bottom w:type="dxa" w:w="80"/>
              <w:right w:type="dxa" w:w="120"/>
            </w:tcMar>
          </w:tcPr>
          <w:p>
            <w:pPr>
              <w:jc w:val="center"/>
            </w:pPr>
            <w:r>
              <w:rPr>
                <w:rFonts w:ascii="Arial" w:cs="Arial" w:eastAsia="Arial" w:hAnsi="Arial"/>
                <w:sz w:val="20"/>
                <w:szCs w:val="20"/>
              </w:rPr>
              <w:t xml:space="preserve">~70 seconds</w:t>
            </w:r>
          </w:p>
        </w:tc>
      </w:tr>
    </w:tbl>
    <w:p>
      <w:pPr>
        <w:spacing w:after="160" w:before="80"/>
        <w:jc w:val="center"/>
      </w:pPr>
      <w:r>
        <w:rPr>
          <w:rFonts w:ascii="Arial" w:cs="Arial" w:eastAsia="Arial" w:hAnsi="Arial"/>
          <w:i/>
          <w:iCs/>
          <w:color w:val="666666"/>
          <w:sz w:val="18"/>
          <w:szCs w:val="18"/>
        </w:rPr>
        <w:t xml:space="preserve">Table 2: Fine-tuning hyperparameters</w:t>
      </w:r>
    </w:p>
    <w:p>
      <w:pPr>
        <w:spacing w:after="60" w:before="60"/>
      </w:pPr>
      <w:r>
        <w:t xml:space="preserve"/>
      </w:r>
    </w:p>
    <w:p>
      <w:pPr>
        <w:pStyle w:val="Heading2"/>
        <w:spacing w:after="120" w:before="240"/>
      </w:pPr>
      <w:r>
        <w:rPr>
          <w:rFonts w:ascii="Arial" w:cs="Arial" w:eastAsia="Arial" w:hAnsi="Arial"/>
          <w:b/>
          <w:bCs/>
          <w:color w:val="4472C4"/>
          <w:sz w:val="24"/>
          <w:szCs w:val="24"/>
        </w:rPr>
        <w:t xml:space="preserve">4.3 Inference</w:t>
      </w:r>
    </w:p>
    <w:p>
      <w:pPr>
        <w:spacing w:after="80" w:before="80" w:line="360"/>
        <w:jc w:val="both"/>
      </w:pPr>
      <w:r>
        <w:rPr>
          <w:rFonts w:ascii="Arial" w:cs="Arial" w:eastAsia="Arial" w:hAnsi="Arial"/>
          <w:sz w:val="22"/>
          <w:szCs w:val="22"/>
        </w:rPr>
        <w:t xml:space="preserve">At inference time, we used beam search decoding with a beam width of 5, early stopping enabled, and a no-repeat n-gram size of 2 to prevent repetitive output. This decoding strategy consistently outperformed greedy decoding in our experiments.</w:t>
      </w:r>
    </w:p>
    <w:p>
      <w:pPr>
        <w:spacing w:after="60" w:before="60"/>
      </w:pPr>
      <w:r>
        <w:t xml:space="preserve"/>
      </w:r>
    </w:p>
    <w:p>
      <w:pPr>
        <w:pStyle w:val="Heading1"/>
        <w:spacing w:after="160" w:before="320"/>
      </w:pPr>
      <w:r>
        <w:rPr>
          <w:rFonts w:ascii="Arial" w:cs="Arial" w:eastAsia="Arial" w:hAnsi="Arial"/>
          <w:b/>
          <w:bCs/>
          <w:color w:val="2E4057"/>
          <w:sz w:val="28"/>
          <w:szCs w:val="28"/>
        </w:rPr>
        <w:t xml:space="preserve">5. Results and Discussion</w:t>
      </w:r>
    </w:p>
    <w:p>
      <w:pPr>
        <w:pStyle w:val="Heading2"/>
        <w:spacing w:after="120" w:before="240"/>
      </w:pPr>
      <w:r>
        <w:rPr>
          <w:rFonts w:ascii="Arial" w:cs="Arial" w:eastAsia="Arial" w:hAnsi="Arial"/>
          <w:b/>
          <w:bCs/>
          <w:color w:val="4472C4"/>
          <w:sz w:val="24"/>
          <w:szCs w:val="24"/>
        </w:rPr>
        <w:t xml:space="preserve">5.1 Training Loss</w:t>
      </w:r>
    </w:p>
    <w:p>
      <w:pPr>
        <w:spacing w:after="80" w:before="80" w:line="360"/>
        <w:jc w:val="both"/>
      </w:pPr>
      <w:r>
        <w:rPr>
          <w:rFonts w:ascii="Arial" w:cs="Arial" w:eastAsia="Arial" w:hAnsi="Arial"/>
          <w:sz w:val="22"/>
          <w:szCs w:val="22"/>
        </w:rPr>
        <w:t xml:space="preserve">The model converged steadily over 10 epochs. Table 3 shows the training and validation loss at selected epochs.</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Borders>
              <w:top w:val="single" w:color="4472C4" w:sz="1"/>
              <w:left w:val="single" w:color="4472C4" w:sz="1"/>
              <w:bottom w:val="single" w:color="4472C4" w:sz="1"/>
              <w:right w:val="single" w:color="4472C4" w:sz="1"/>
            </w:tcBorders>
            <w:shd w:fill="2E4057"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Epoch</w:t>
            </w:r>
          </w:p>
        </w:tc>
        <w:tc>
          <w:tcPr>
            <w:tcBorders>
              <w:top w:val="single" w:color="4472C4" w:sz="1"/>
              <w:left w:val="single" w:color="4472C4" w:sz="1"/>
              <w:bottom w:val="single" w:color="4472C4" w:sz="1"/>
              <w:right w:val="single" w:color="4472C4" w:sz="1"/>
            </w:tcBorders>
            <w:shd w:fill="2E4057"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Training Loss</w:t>
            </w:r>
          </w:p>
        </w:tc>
        <w:tc>
          <w:tcPr>
            <w:tcBorders>
              <w:top w:val="single" w:color="4472C4" w:sz="1"/>
              <w:left w:val="single" w:color="4472C4" w:sz="1"/>
              <w:bottom w:val="single" w:color="4472C4" w:sz="1"/>
              <w:right w:val="single" w:color="4472C4" w:sz="1"/>
            </w:tcBorders>
            <w:shd w:fill="2E4057"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Validation Loss</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1</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0.8254</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0.3878</w:t>
            </w:r>
          </w:p>
        </w:tc>
      </w:tr>
      <w:tr>
        <w:tc>
          <w:tcPr>
            <w:tcBorders>
              <w:top w:val="single" w:color="CCCCCC" w:sz="1"/>
              <w:left w:val="single" w:color="CCCCCC" w:sz="1"/>
              <w:bottom w:val="single" w:color="CCCCCC" w:sz="1"/>
              <w:right w:val="single" w:color="CCCCCC" w:sz="1"/>
            </w:tcBorders>
            <w:shd w:fill="EBF0F8" w:val="clear"/>
            <w:tcMar>
              <w:top w:type="dxa" w:w="80"/>
              <w:left w:type="dxa" w:w="120"/>
              <w:bottom w:type="dxa" w:w="80"/>
              <w:right w:type="dxa" w:w="120"/>
            </w:tcMar>
          </w:tcPr>
          <w:p>
            <w:pPr>
              <w:jc w:val="left"/>
            </w:pPr>
            <w:r>
              <w:rPr>
                <w:rFonts w:ascii="Arial" w:cs="Arial" w:eastAsia="Arial" w:hAnsi="Arial"/>
                <w:sz w:val="20"/>
                <w:szCs w:val="20"/>
              </w:rPr>
              <w:t xml:space="preserve">2</w:t>
            </w:r>
          </w:p>
        </w:tc>
        <w:tc>
          <w:tcPr>
            <w:tcBorders>
              <w:top w:val="single" w:color="CCCCCC" w:sz="1"/>
              <w:left w:val="single" w:color="CCCCCC" w:sz="1"/>
              <w:bottom w:val="single" w:color="CCCCCC" w:sz="1"/>
              <w:right w:val="single" w:color="CCCCCC" w:sz="1"/>
            </w:tcBorders>
            <w:shd w:fill="EBF0F8" w:val="clear"/>
            <w:tcMar>
              <w:top w:type="dxa" w:w="80"/>
              <w:left w:type="dxa" w:w="120"/>
              <w:bottom w:type="dxa" w:w="80"/>
              <w:right w:type="dxa" w:w="120"/>
            </w:tcMar>
          </w:tcPr>
          <w:p>
            <w:pPr>
              <w:jc w:val="center"/>
            </w:pPr>
            <w:r>
              <w:rPr>
                <w:rFonts w:ascii="Arial" w:cs="Arial" w:eastAsia="Arial" w:hAnsi="Arial"/>
                <w:sz w:val="20"/>
                <w:szCs w:val="20"/>
              </w:rPr>
              <w:t xml:space="preserve">0.2011</w:t>
            </w:r>
          </w:p>
        </w:tc>
        <w:tc>
          <w:tcPr>
            <w:tcBorders>
              <w:top w:val="single" w:color="CCCCCC" w:sz="1"/>
              <w:left w:val="single" w:color="CCCCCC" w:sz="1"/>
              <w:bottom w:val="single" w:color="CCCCCC" w:sz="1"/>
              <w:right w:val="single" w:color="CCCCCC" w:sz="1"/>
            </w:tcBorders>
            <w:shd w:fill="EBF0F8" w:val="clear"/>
            <w:tcMar>
              <w:top w:type="dxa" w:w="80"/>
              <w:left w:type="dxa" w:w="120"/>
              <w:bottom w:type="dxa" w:w="80"/>
              <w:right w:type="dxa" w:w="120"/>
            </w:tcMar>
          </w:tcPr>
          <w:p>
            <w:pPr>
              <w:jc w:val="center"/>
            </w:pPr>
            <w:r>
              <w:rPr>
                <w:rFonts w:ascii="Arial" w:cs="Arial" w:eastAsia="Arial" w:hAnsi="Arial"/>
                <w:sz w:val="20"/>
                <w:szCs w:val="20"/>
              </w:rPr>
              <w:t xml:space="preserve">0.1187</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3</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0.1161</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0.0868</w:t>
            </w:r>
          </w:p>
        </w:tc>
      </w:tr>
      <w:tr>
        <w:tc>
          <w:tcPr>
            <w:tcBorders>
              <w:top w:val="single" w:color="CCCCCC" w:sz="1"/>
              <w:left w:val="single" w:color="CCCCCC" w:sz="1"/>
              <w:bottom w:val="single" w:color="CCCCCC" w:sz="1"/>
              <w:right w:val="single" w:color="CCCCCC" w:sz="1"/>
            </w:tcBorders>
            <w:shd w:fill="EBF0F8" w:val="clear"/>
            <w:tcMar>
              <w:top w:type="dxa" w:w="80"/>
              <w:left w:type="dxa" w:w="120"/>
              <w:bottom w:type="dxa" w:w="80"/>
              <w:right w:type="dxa" w:w="120"/>
            </w:tcMar>
          </w:tcPr>
          <w:p>
            <w:pPr>
              <w:jc w:val="left"/>
            </w:pPr>
            <w:r>
              <w:rPr>
                <w:rFonts w:ascii="Arial" w:cs="Arial" w:eastAsia="Arial" w:hAnsi="Arial"/>
                <w:sz w:val="20"/>
                <w:szCs w:val="20"/>
              </w:rPr>
              <w:t xml:space="preserve">4</w:t>
            </w:r>
          </w:p>
        </w:tc>
        <w:tc>
          <w:tcPr>
            <w:tcBorders>
              <w:top w:val="single" w:color="CCCCCC" w:sz="1"/>
              <w:left w:val="single" w:color="CCCCCC" w:sz="1"/>
              <w:bottom w:val="single" w:color="CCCCCC" w:sz="1"/>
              <w:right w:val="single" w:color="CCCCCC" w:sz="1"/>
            </w:tcBorders>
            <w:shd w:fill="EBF0F8" w:val="clear"/>
            <w:tcMar>
              <w:top w:type="dxa" w:w="80"/>
              <w:left w:type="dxa" w:w="120"/>
              <w:bottom w:type="dxa" w:w="80"/>
              <w:right w:type="dxa" w:w="120"/>
            </w:tcMar>
          </w:tcPr>
          <w:p>
            <w:pPr>
              <w:jc w:val="center"/>
            </w:pPr>
            <w:r>
              <w:rPr>
                <w:rFonts w:ascii="Arial" w:cs="Arial" w:eastAsia="Arial" w:hAnsi="Arial"/>
                <w:sz w:val="20"/>
                <w:szCs w:val="20"/>
              </w:rPr>
              <w:t xml:space="preserve">0.0789</w:t>
            </w:r>
          </w:p>
        </w:tc>
        <w:tc>
          <w:tcPr>
            <w:tcBorders>
              <w:top w:val="single" w:color="CCCCCC" w:sz="1"/>
              <w:left w:val="single" w:color="CCCCCC" w:sz="1"/>
              <w:bottom w:val="single" w:color="CCCCCC" w:sz="1"/>
              <w:right w:val="single" w:color="CCCCCC" w:sz="1"/>
            </w:tcBorders>
            <w:shd w:fill="EBF0F8" w:val="clear"/>
            <w:tcMar>
              <w:top w:type="dxa" w:w="80"/>
              <w:left w:type="dxa" w:w="120"/>
              <w:bottom w:type="dxa" w:w="80"/>
              <w:right w:type="dxa" w:w="120"/>
            </w:tcMar>
          </w:tcPr>
          <w:p>
            <w:pPr>
              <w:jc w:val="center"/>
            </w:pPr>
            <w:r>
              <w:rPr>
                <w:rFonts w:ascii="Arial" w:cs="Arial" w:eastAsia="Arial" w:hAnsi="Arial"/>
                <w:sz w:val="20"/>
                <w:szCs w:val="20"/>
              </w:rPr>
              <w:t xml:space="preserve">0.0783</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5</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0.0501</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0.0789</w:t>
            </w:r>
          </w:p>
        </w:tc>
      </w:tr>
    </w:tbl>
    <w:p>
      <w:pPr>
        <w:spacing w:after="160" w:before="80"/>
        <w:jc w:val="center"/>
      </w:pPr>
      <w:r>
        <w:rPr>
          <w:rFonts w:ascii="Arial" w:cs="Arial" w:eastAsia="Arial" w:hAnsi="Arial"/>
          <w:i/>
          <w:iCs/>
          <w:color w:val="666666"/>
          <w:sz w:val="18"/>
          <w:szCs w:val="18"/>
        </w:rPr>
        <w:t xml:space="preserve">Table 3: Training and validation loss across epochs</w:t>
      </w:r>
    </w:p>
    <w:p>
      <w:pPr>
        <w:spacing w:after="60" w:before="60"/>
      </w:pPr>
      <w:r>
        <w:t xml:space="preserve"/>
      </w:r>
    </w:p>
    <w:p>
      <w:pPr>
        <w:pStyle w:val="Heading2"/>
        <w:spacing w:after="120" w:before="240"/>
      </w:pPr>
      <w:r>
        <w:rPr>
          <w:rFonts w:ascii="Arial" w:cs="Arial" w:eastAsia="Arial" w:hAnsi="Arial"/>
          <w:b/>
          <w:bCs/>
          <w:color w:val="4472C4"/>
          <w:sz w:val="24"/>
          <w:szCs w:val="24"/>
        </w:rPr>
        <w:t xml:space="preserve">5.2 BLEU Score Evaluation</w:t>
      </w:r>
    </w:p>
    <w:p>
      <w:pPr>
        <w:spacing w:after="80" w:before="80" w:line="360"/>
        <w:jc w:val="both"/>
      </w:pPr>
      <w:r>
        <w:rPr>
          <w:rFonts w:ascii="Arial" w:cs="Arial" w:eastAsia="Arial" w:hAnsi="Arial"/>
          <w:sz w:val="22"/>
          <w:szCs w:val="22"/>
        </w:rPr>
        <w:t xml:space="preserve">We evaluated the fine-tuned model on the held-out test set of 51 sentence pairs using the sacrebleu library. Table 4 summarises the evaluation results.</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Borders>
              <w:top w:val="single" w:color="4472C4" w:sz="1"/>
              <w:left w:val="single" w:color="4472C4" w:sz="1"/>
              <w:bottom w:val="single" w:color="4472C4" w:sz="1"/>
              <w:right w:val="single" w:color="4472C4" w:sz="1"/>
            </w:tcBorders>
            <w:shd w:fill="2E4057"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Metric</w:t>
            </w:r>
          </w:p>
        </w:tc>
        <w:tc>
          <w:tcPr>
            <w:tcBorders>
              <w:top w:val="single" w:color="4472C4" w:sz="1"/>
              <w:left w:val="single" w:color="4472C4" w:sz="1"/>
              <w:bottom w:val="single" w:color="4472C4" w:sz="1"/>
              <w:right w:val="single" w:color="4472C4" w:sz="1"/>
            </w:tcBorders>
            <w:shd w:fill="2E4057"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Value</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Test set size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51 sentence pairs</w:t>
            </w:r>
          </w:p>
        </w:tc>
      </w:tr>
      <w:tr>
        <w:tc>
          <w:tcPr>
            <w:tcBorders>
              <w:top w:val="single" w:color="CCCCCC" w:sz="1"/>
              <w:left w:val="single" w:color="CCCCCC" w:sz="1"/>
              <w:bottom w:val="single" w:color="CCCCCC" w:sz="1"/>
              <w:right w:val="single" w:color="CCCCCC" w:sz="1"/>
            </w:tcBorders>
            <w:shd w:fill="EBF0F8" w:val="clear"/>
            <w:tcMar>
              <w:top w:type="dxa" w:w="80"/>
              <w:left w:type="dxa" w:w="120"/>
              <w:bottom w:type="dxa" w:w="80"/>
              <w:right w:type="dxa" w:w="120"/>
            </w:tcMar>
          </w:tcPr>
          <w:p>
            <w:pPr>
              <w:jc w:val="left"/>
            </w:pPr>
            <w:r>
              <w:rPr>
                <w:rFonts w:ascii="Arial" w:cs="Arial" w:eastAsia="Arial" w:hAnsi="Arial"/>
                <w:sz w:val="20"/>
                <w:szCs w:val="20"/>
              </w:rPr>
              <w:t xml:space="preserve">BLEU Score</w:t>
            </w:r>
          </w:p>
        </w:tc>
        <w:tc>
          <w:tcPr>
            <w:tcBorders>
              <w:top w:val="single" w:color="CCCCCC" w:sz="1"/>
              <w:left w:val="single" w:color="CCCCCC" w:sz="1"/>
              <w:bottom w:val="single" w:color="CCCCCC" w:sz="1"/>
              <w:right w:val="single" w:color="CCCCCC" w:sz="1"/>
            </w:tcBorders>
            <w:shd w:fill="EBF0F8" w:val="clear"/>
            <w:tcMar>
              <w:top w:type="dxa" w:w="80"/>
              <w:left w:type="dxa" w:w="120"/>
              <w:bottom w:type="dxa" w:w="80"/>
              <w:right w:type="dxa" w:w="120"/>
            </w:tcMar>
          </w:tcPr>
          <w:p>
            <w:pPr>
              <w:jc w:val="center"/>
            </w:pPr>
            <w:r>
              <w:rPr>
                <w:rFonts w:ascii="Arial" w:cs="Arial" w:eastAsia="Arial" w:hAnsi="Arial"/>
                <w:sz w:val="20"/>
                <w:szCs w:val="20"/>
              </w:rPr>
              <w:t xml:space="preserve">27.32</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Decoding strategy</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Beam search (beam=5)</w:t>
            </w:r>
          </w:p>
        </w:tc>
      </w:tr>
      <w:tr>
        <w:tc>
          <w:tcPr>
            <w:tcBorders>
              <w:top w:val="single" w:color="CCCCCC" w:sz="1"/>
              <w:left w:val="single" w:color="CCCCCC" w:sz="1"/>
              <w:bottom w:val="single" w:color="CCCCCC" w:sz="1"/>
              <w:right w:val="single" w:color="CCCCCC" w:sz="1"/>
            </w:tcBorders>
            <w:shd w:fill="EBF0F8" w:val="clear"/>
            <w:tcMar>
              <w:top w:type="dxa" w:w="80"/>
              <w:left w:type="dxa" w:w="120"/>
              <w:bottom w:type="dxa" w:w="80"/>
              <w:right w:type="dxa" w:w="120"/>
            </w:tcMar>
          </w:tcPr>
          <w:p>
            <w:pPr>
              <w:jc w:val="left"/>
            </w:pPr>
            <w:r>
              <w:rPr>
                <w:rFonts w:ascii="Arial" w:cs="Arial" w:eastAsia="Arial" w:hAnsi="Arial"/>
                <w:sz w:val="20"/>
                <w:szCs w:val="20"/>
              </w:rPr>
              <w:t xml:space="preserve">BLEU range (low-resource baseline)</w:t>
            </w:r>
          </w:p>
        </w:tc>
        <w:tc>
          <w:tcPr>
            <w:tcBorders>
              <w:top w:val="single" w:color="CCCCCC" w:sz="1"/>
              <w:left w:val="single" w:color="CCCCCC" w:sz="1"/>
              <w:bottom w:val="single" w:color="CCCCCC" w:sz="1"/>
              <w:right w:val="single" w:color="CCCCCC" w:sz="1"/>
            </w:tcBorders>
            <w:shd w:fill="EBF0F8" w:val="clear"/>
            <w:tcMar>
              <w:top w:type="dxa" w:w="80"/>
              <w:left w:type="dxa" w:w="120"/>
              <w:bottom w:type="dxa" w:w="80"/>
              <w:right w:type="dxa" w:w="120"/>
            </w:tcMar>
          </w:tcPr>
          <w:p>
            <w:pPr>
              <w:jc w:val="center"/>
            </w:pPr>
            <w:r>
              <w:rPr>
                <w:rFonts w:ascii="Arial" w:cs="Arial" w:eastAsia="Arial" w:hAnsi="Arial"/>
                <w:sz w:val="20"/>
                <w:szCs w:val="20"/>
              </w:rPr>
              <w:t xml:space="preserve">10 – 15</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BLEU range (good MT system)</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20 – 30</w:t>
            </w:r>
          </w:p>
        </w:tc>
      </w:tr>
    </w:tbl>
    <w:p>
      <w:pPr>
        <w:spacing w:after="160" w:before="80"/>
        <w:jc w:val="center"/>
      </w:pPr>
      <w:r>
        <w:rPr>
          <w:rFonts w:ascii="Arial" w:cs="Arial" w:eastAsia="Arial" w:hAnsi="Arial"/>
          <w:i/>
          <w:iCs/>
          <w:color w:val="666666"/>
          <w:sz w:val="18"/>
          <w:szCs w:val="18"/>
        </w:rPr>
        <w:t xml:space="preserve">Table 4: Evaluation results on the test set</w:t>
      </w:r>
    </w:p>
    <w:p>
      <w:pPr>
        <w:spacing w:after="60" w:before="60"/>
      </w:pPr>
      <w:r>
        <w:t xml:space="preserve"/>
      </w:r>
    </w:p>
    <w:p>
      <w:pPr>
        <w:spacing w:after="80" w:before="80" w:line="360"/>
        <w:jc w:val="both"/>
      </w:pPr>
      <w:r>
        <w:rPr>
          <w:rFonts w:ascii="Arial" w:cs="Arial" w:eastAsia="Arial" w:hAnsi="Arial"/>
          <w:sz w:val="22"/>
          <w:szCs w:val="22"/>
        </w:rPr>
        <w:t xml:space="preserve">A BLEU score of 27.32 places our system solidly within the range of good machine translation performance. This is a strong result given the limited dataset size of 510 sentence pairs. For comparison, low-resource MT baselines typically achieve BLEU scores in the 10–15 range, while commercial systems such as Google Translate achieve 40–50 on standard benchmarks.</w:t>
      </w:r>
    </w:p>
    <w:p>
      <w:pPr>
        <w:spacing w:after="60" w:before="60"/>
      </w:pPr>
      <w:r>
        <w:t xml:space="preserve"/>
      </w:r>
    </w:p>
    <w:p>
      <w:pPr>
        <w:pStyle w:val="Heading2"/>
        <w:spacing w:after="120" w:before="240"/>
      </w:pPr>
      <w:r>
        <w:rPr>
          <w:rFonts w:ascii="Arial" w:cs="Arial" w:eastAsia="Arial" w:hAnsi="Arial"/>
          <w:b/>
          <w:bCs/>
          <w:color w:val="4472C4"/>
          <w:sz w:val="24"/>
          <w:szCs w:val="24"/>
        </w:rPr>
        <w:t xml:space="preserve">5.3 Qualitative Analysis</w:t>
      </w:r>
    </w:p>
    <w:p>
      <w:pPr>
        <w:spacing w:after="80" w:before="80" w:line="360"/>
        <w:jc w:val="both"/>
      </w:pPr>
      <w:r>
        <w:rPr>
          <w:rFonts w:ascii="Arial" w:cs="Arial" w:eastAsia="Arial" w:hAnsi="Arial"/>
          <w:sz w:val="22"/>
          <w:szCs w:val="22"/>
        </w:rPr>
        <w:t xml:space="preserve">Table 5 presents selected translation examples from the test set, illustrating both the strengths and limitations of the system.</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Borders>
              <w:top w:val="single" w:color="4472C4" w:sz="1"/>
              <w:left w:val="single" w:color="4472C4" w:sz="1"/>
              <w:bottom w:val="single" w:color="4472C4" w:sz="1"/>
              <w:right w:val="single" w:color="4472C4" w:sz="1"/>
            </w:tcBorders>
            <w:shd w:fill="2E4057"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Tamil Input</w:t>
            </w:r>
          </w:p>
        </w:tc>
        <w:tc>
          <w:tcPr>
            <w:tcBorders>
              <w:top w:val="single" w:color="4472C4" w:sz="1"/>
              <w:left w:val="single" w:color="4472C4" w:sz="1"/>
              <w:bottom w:val="single" w:color="4472C4" w:sz="1"/>
              <w:right w:val="single" w:color="4472C4" w:sz="1"/>
            </w:tcBorders>
            <w:shd w:fill="2E4057"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System Output</w:t>
            </w:r>
          </w:p>
        </w:tc>
        <w:tc>
          <w:tcPr>
            <w:tcBorders>
              <w:top w:val="single" w:color="4472C4" w:sz="1"/>
              <w:left w:val="single" w:color="4472C4" w:sz="1"/>
              <w:bottom w:val="single" w:color="4472C4" w:sz="1"/>
              <w:right w:val="single" w:color="4472C4" w:sz="1"/>
            </w:tcBorders>
            <w:shd w:fill="2E4057"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Reference</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விமான டிக்கெட் விலை ரொம்ப அதிகமா இருக்கு.</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The ticket price is very high.</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The flight ticket price is very high.</w:t>
            </w:r>
          </w:p>
        </w:tc>
      </w:tr>
      <w:tr>
        <w:tc>
          <w:tcPr>
            <w:tcBorders>
              <w:top w:val="single" w:color="CCCCCC" w:sz="1"/>
              <w:left w:val="single" w:color="CCCCCC" w:sz="1"/>
              <w:bottom w:val="single" w:color="CCCCCC" w:sz="1"/>
              <w:right w:val="single" w:color="CCCCCC" w:sz="1"/>
            </w:tcBorders>
            <w:shd w:fill="EBF0F8" w:val="clear"/>
            <w:tcMar>
              <w:top w:type="dxa" w:w="80"/>
              <w:left w:type="dxa" w:w="120"/>
              <w:bottom w:type="dxa" w:w="80"/>
              <w:right w:type="dxa" w:w="120"/>
            </w:tcMar>
          </w:tcPr>
          <w:p>
            <w:pPr>
              <w:jc w:val="left"/>
            </w:pPr>
            <w:r>
              <w:rPr>
                <w:rFonts w:ascii="Arial" w:cs="Arial" w:eastAsia="Arial" w:hAnsi="Arial"/>
                <w:sz w:val="20"/>
                <w:szCs w:val="20"/>
              </w:rPr>
              <w:t xml:space="preserve">ஆன்லைனுல ஆர்டர் பண்ணலாம்.</w:t>
            </w:r>
          </w:p>
        </w:tc>
        <w:tc>
          <w:tcPr>
            <w:tcBorders>
              <w:top w:val="single" w:color="CCCCCC" w:sz="1"/>
              <w:left w:val="single" w:color="CCCCCC" w:sz="1"/>
              <w:bottom w:val="single" w:color="CCCCCC" w:sz="1"/>
              <w:right w:val="single" w:color="CCCCCC" w:sz="1"/>
            </w:tcBorders>
            <w:shd w:fill="EBF0F8" w:val="clear"/>
            <w:tcMar>
              <w:top w:type="dxa" w:w="80"/>
              <w:left w:type="dxa" w:w="120"/>
              <w:bottom w:type="dxa" w:w="80"/>
              <w:right w:type="dxa" w:w="120"/>
            </w:tcMar>
          </w:tcPr>
          <w:p>
            <w:pPr>
              <w:jc w:val="center"/>
            </w:pPr>
            <w:r>
              <w:rPr>
                <w:rFonts w:ascii="Arial" w:cs="Arial" w:eastAsia="Arial" w:hAnsi="Arial"/>
                <w:sz w:val="20"/>
                <w:szCs w:val="20"/>
              </w:rPr>
              <w:t xml:space="preserve">We can order online.</w:t>
            </w:r>
          </w:p>
        </w:tc>
        <w:tc>
          <w:tcPr>
            <w:tcBorders>
              <w:top w:val="single" w:color="CCCCCC" w:sz="1"/>
              <w:left w:val="single" w:color="CCCCCC" w:sz="1"/>
              <w:bottom w:val="single" w:color="CCCCCC" w:sz="1"/>
              <w:right w:val="single" w:color="CCCCCC" w:sz="1"/>
            </w:tcBorders>
            <w:shd w:fill="EBF0F8" w:val="clear"/>
            <w:tcMar>
              <w:top w:type="dxa" w:w="80"/>
              <w:left w:type="dxa" w:w="120"/>
              <w:bottom w:type="dxa" w:w="80"/>
              <w:right w:type="dxa" w:w="120"/>
            </w:tcMar>
          </w:tcPr>
          <w:p>
            <w:pPr>
              <w:jc w:val="center"/>
            </w:pPr>
            <w:r>
              <w:rPr>
                <w:rFonts w:ascii="Arial" w:cs="Arial" w:eastAsia="Arial" w:hAnsi="Arial"/>
                <w:sz w:val="20"/>
                <w:szCs w:val="20"/>
              </w:rPr>
              <w:t xml:space="preserve">We can order it online.</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ஆபரேஷன் தேவையா?</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Do you need an operation?</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Is surgery necessary?</w:t>
            </w:r>
          </w:p>
        </w:tc>
      </w:tr>
      <w:tr>
        <w:tc>
          <w:tcPr>
            <w:tcBorders>
              <w:top w:val="single" w:color="CCCCCC" w:sz="1"/>
              <w:left w:val="single" w:color="CCCCCC" w:sz="1"/>
              <w:bottom w:val="single" w:color="CCCCCC" w:sz="1"/>
              <w:right w:val="single" w:color="CCCCCC" w:sz="1"/>
            </w:tcBorders>
            <w:shd w:fill="EBF0F8" w:val="clear"/>
            <w:tcMar>
              <w:top w:type="dxa" w:w="80"/>
              <w:left w:type="dxa" w:w="120"/>
              <w:bottom w:type="dxa" w:w="80"/>
              <w:right w:type="dxa" w:w="120"/>
            </w:tcMar>
          </w:tcPr>
          <w:p>
            <w:pPr>
              <w:jc w:val="left"/>
            </w:pPr>
            <w:r>
              <w:rPr>
                <w:rFonts w:ascii="Arial" w:cs="Arial" w:eastAsia="Arial" w:hAnsi="Arial"/>
                <w:sz w:val="20"/>
                <w:szCs w:val="20"/>
              </w:rPr>
              <w:t xml:space="preserve">இங்க நல்ல ஹோட்டல் இருக்கா?</w:t>
            </w:r>
          </w:p>
        </w:tc>
        <w:tc>
          <w:tcPr>
            <w:tcBorders>
              <w:top w:val="single" w:color="CCCCCC" w:sz="1"/>
              <w:left w:val="single" w:color="CCCCCC" w:sz="1"/>
              <w:bottom w:val="single" w:color="CCCCCC" w:sz="1"/>
              <w:right w:val="single" w:color="CCCCCC" w:sz="1"/>
            </w:tcBorders>
            <w:shd w:fill="EBF0F8" w:val="clear"/>
            <w:tcMar>
              <w:top w:type="dxa" w:w="80"/>
              <w:left w:type="dxa" w:w="120"/>
              <w:bottom w:type="dxa" w:w="80"/>
              <w:right w:type="dxa" w:w="120"/>
            </w:tcMar>
          </w:tcPr>
          <w:p>
            <w:pPr>
              <w:jc w:val="center"/>
            </w:pPr>
            <w:r>
              <w:rPr>
                <w:rFonts w:ascii="Arial" w:cs="Arial" w:eastAsia="Arial" w:hAnsi="Arial"/>
                <w:sz w:val="20"/>
                <w:szCs w:val="20"/>
              </w:rPr>
              <w:t xml:space="preserve">Is there a good hotel here?</w:t>
            </w:r>
          </w:p>
        </w:tc>
        <w:tc>
          <w:tcPr>
            <w:tcBorders>
              <w:top w:val="single" w:color="CCCCCC" w:sz="1"/>
              <w:left w:val="single" w:color="CCCCCC" w:sz="1"/>
              <w:bottom w:val="single" w:color="CCCCCC" w:sz="1"/>
              <w:right w:val="single" w:color="CCCCCC" w:sz="1"/>
            </w:tcBorders>
            <w:shd w:fill="EBF0F8" w:val="clear"/>
            <w:tcMar>
              <w:top w:type="dxa" w:w="80"/>
              <w:left w:type="dxa" w:w="120"/>
              <w:bottom w:type="dxa" w:w="80"/>
              <w:right w:type="dxa" w:w="120"/>
            </w:tcMar>
          </w:tcPr>
          <w:p>
            <w:pPr>
              <w:jc w:val="center"/>
            </w:pPr>
            <w:r>
              <w:rPr>
                <w:rFonts w:ascii="Arial" w:cs="Arial" w:eastAsia="Arial" w:hAnsi="Arial"/>
                <w:sz w:val="20"/>
                <w:szCs w:val="20"/>
              </w:rPr>
              <w:t xml:space="preserve">Is there a good restaurant here?</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நாளைக்கு பரீட்சை இருக்கு.</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There is an exam tomorrow.</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There is an exam tomorrow.</w:t>
            </w:r>
          </w:p>
        </w:tc>
      </w:tr>
    </w:tbl>
    <w:p>
      <w:pPr>
        <w:spacing w:after="160" w:before="80"/>
        <w:jc w:val="center"/>
      </w:pPr>
      <w:r>
        <w:rPr>
          <w:rFonts w:ascii="Arial" w:cs="Arial" w:eastAsia="Arial" w:hAnsi="Arial"/>
          <w:i/>
          <w:iCs/>
          <w:color w:val="666666"/>
          <w:sz w:val="18"/>
          <w:szCs w:val="18"/>
        </w:rPr>
        <w:t xml:space="preserve">Table 5: Sample translation outputs from the test set</w:t>
      </w:r>
    </w:p>
    <w:p>
      <w:pPr>
        <w:spacing w:after="60" w:before="60"/>
      </w:pPr>
      <w:r>
        <w:t xml:space="preserve"/>
      </w:r>
    </w:p>
    <w:p>
      <w:pPr>
        <w:spacing w:after="80" w:before="80" w:line="360"/>
        <w:jc w:val="both"/>
      </w:pPr>
      <w:r>
        <w:rPr>
          <w:rFonts w:ascii="Arial" w:cs="Arial" w:eastAsia="Arial" w:hAnsi="Arial"/>
          <w:sz w:val="22"/>
          <w:szCs w:val="22"/>
        </w:rPr>
        <w:t xml:space="preserve">The qualitative analysis reveals that the model translates simple declarative and interrogative sentences with high accuracy. The main sources of error are vocabulary gaps (e.g., translating 'ஹோட்டல்' as 'hotel' rather than 'restaurant') and difficulty with idiomatic expressions. These errors are consistent with the expected limitations of a model fine-tuned on a small dataset.</w:t>
      </w:r>
    </w:p>
    <w:p>
      <w:pPr>
        <w:spacing w:after="60" w:before="60"/>
      </w:pPr>
      <w:r>
        <w:t xml:space="preserve"/>
      </w:r>
    </w:p>
    <w:p>
      <w:pPr>
        <w:pStyle w:val="Heading1"/>
        <w:spacing w:after="160" w:before="320"/>
      </w:pPr>
      <w:r>
        <w:rPr>
          <w:rFonts w:ascii="Arial" w:cs="Arial" w:eastAsia="Arial" w:hAnsi="Arial"/>
          <w:b/>
          <w:bCs/>
          <w:color w:val="2E4057"/>
          <w:sz w:val="28"/>
          <w:szCs w:val="28"/>
        </w:rPr>
        <w:t xml:space="preserve">6. System Demonstration</w:t>
      </w:r>
    </w:p>
    <w:p>
      <w:pPr>
        <w:spacing w:after="80" w:before="80" w:line="360"/>
        <w:jc w:val="both"/>
      </w:pPr>
      <w:r>
        <w:rPr>
          <w:rFonts w:ascii="Arial" w:cs="Arial" w:eastAsia="Arial" w:hAnsi="Arial"/>
          <w:sz w:val="22"/>
          <w:szCs w:val="22"/>
        </w:rPr>
        <w:t xml:space="preserve">A live interactive demonstration of the translation system is publicly available at:</w:t>
      </w:r>
    </w:p>
    <w:p>
      <w:pPr>
        <w:spacing w:after="60" w:before="60"/>
      </w:pPr>
      <w:r>
        <w:t xml:space="preserve"/>
      </w:r>
    </w:p>
    <w:p>
      <w:pPr>
        <w:spacing w:after="120" w:before="120"/>
        <w:jc w:val="center"/>
      </w:pPr>
      <w:r>
        <w:rPr>
          <w:rFonts w:ascii="Arial" w:cs="Arial" w:eastAsia="Arial" w:hAnsi="Arial"/>
          <w:b/>
          <w:bCs/>
          <w:color w:val="4472C4"/>
          <w:sz w:val="22"/>
          <w:szCs w:val="22"/>
        </w:rPr>
        <w:t xml:space="preserve">https://huggingface.co/spaces/AshGenX/tamil-mt-demo</w:t>
      </w:r>
    </w:p>
    <w:p>
      <w:pPr>
        <w:spacing w:after="60" w:before="60"/>
      </w:pPr>
      <w:r>
        <w:t xml:space="preserve"/>
      </w:r>
    </w:p>
    <w:p>
      <w:pPr>
        <w:spacing w:after="80" w:before="80" w:line="360"/>
        <w:jc w:val="both"/>
      </w:pPr>
      <w:r>
        <w:rPr>
          <w:rFonts w:ascii="Arial" w:cs="Arial" w:eastAsia="Arial" w:hAnsi="Arial"/>
          <w:sz w:val="22"/>
          <w:szCs w:val="22"/>
        </w:rPr>
        <w:t xml:space="preserve">The demo provides a web-based interface where users can type any Tamil sentence and receive an English translation in real time. The interface includes example sentences from all five domains, a word count statistics display, and a clear/reset function. The system is built with the Gradio framework and hosted permanently on HuggingFace Spaces.</w:t>
      </w:r>
    </w:p>
    <w:p>
      <w:pPr>
        <w:spacing w:after="60" w:before="60"/>
      </w:pPr>
      <w:r>
        <w:t xml:space="preserve"/>
      </w:r>
    </w:p>
    <w:p>
      <w:pPr>
        <w:pStyle w:val="Heading1"/>
        <w:spacing w:after="160" w:before="320"/>
      </w:pPr>
      <w:r>
        <w:rPr>
          <w:rFonts w:ascii="Arial" w:cs="Arial" w:eastAsia="Arial" w:hAnsi="Arial"/>
          <w:b/>
          <w:bCs/>
          <w:color w:val="2E4057"/>
          <w:sz w:val="28"/>
          <w:szCs w:val="28"/>
        </w:rPr>
        <w:t xml:space="preserve">7. Conclusion and Future Work</w:t>
      </w:r>
    </w:p>
    <w:p>
      <w:pPr>
        <w:spacing w:after="80" w:before="80" w:line="360"/>
        <w:jc w:val="both"/>
      </w:pPr>
      <w:r>
        <w:rPr>
          <w:rFonts w:ascii="Arial" w:cs="Arial" w:eastAsia="Arial" w:hAnsi="Arial"/>
          <w:sz w:val="22"/>
          <w:szCs w:val="22"/>
        </w:rPr>
        <w:t xml:space="preserve">This project demonstrates that a meaningful low-resource machine translation system for colloquial Tamil can be built with a carefully curated dataset of just 510 sentence pairs. Our fine-tuned model achieved a BLEU score of 27.32, outperforming typical low-resource baselines, and the system is deployed as a publicly accessible live demo.</w:t>
      </w:r>
    </w:p>
    <w:p>
      <w:pPr>
        <w:spacing w:after="60" w:before="60"/>
      </w:pPr>
      <w:r>
        <w:t xml:space="preserve"/>
      </w:r>
    </w:p>
    <w:p>
      <w:pPr>
        <w:spacing w:after="80" w:before="80" w:line="360"/>
        <w:jc w:val="both"/>
      </w:pPr>
      <w:r>
        <w:rPr>
          <w:rFonts w:ascii="Arial" w:cs="Arial" w:eastAsia="Arial" w:hAnsi="Arial"/>
          <w:sz w:val="22"/>
          <w:szCs w:val="22"/>
        </w:rPr>
        <w:t xml:space="preserve">The key findings of this work are: (1) domain-specific fine-tuning significantly improves translation quality for colloquial Tamil; (2) beam search decoding consistently outperforms greedy decoding; and (3) data quality is more important than data quantity in low-resource fine-tuning.</w:t>
      </w:r>
    </w:p>
    <w:p>
      <w:pPr>
        <w:spacing w:after="60" w:before="60"/>
      </w:pPr>
      <w:r>
        <w:t xml:space="preserve"/>
      </w:r>
    </w:p>
    <w:p>
      <w:pPr>
        <w:spacing w:after="80" w:before="80" w:line="360"/>
        <w:jc w:val="both"/>
      </w:pPr>
      <w:r>
        <w:rPr>
          <w:rFonts w:ascii="Arial" w:cs="Arial" w:eastAsia="Arial" w:hAnsi="Arial"/>
          <w:sz w:val="22"/>
          <w:szCs w:val="22"/>
        </w:rPr>
        <w:t xml:space="preserve">Several directions for future work are promising. First, expanding the dataset to 1,000 or more sentence pairs is expected to yield meaningful BLEU score improvements. Second, fine-tuning IndicTrans2 — which is specifically pre-trained on Indian language data including Tamil — would likely achieve higher BLEU scores. Third, incorporating back-translation as a data augmentation technique could help address data scarcity. Finally, extending the system to handle code-mixed Tamil-English sentences would make it more practically useful for urban Tamil Nadu contexts.</w:t>
      </w:r>
    </w:p>
    <w:p>
      <w:pPr>
        <w:spacing w:after="60" w:before="60"/>
      </w:pPr>
      <w:r>
        <w:t xml:space="preserve"/>
      </w:r>
    </w:p>
    <w:p>
      <w:pPr>
        <w:pStyle w:val="Heading1"/>
        <w:spacing w:after="160" w:before="320"/>
      </w:pPr>
      <w:r>
        <w:rPr>
          <w:rFonts w:ascii="Arial" w:cs="Arial" w:eastAsia="Arial" w:hAnsi="Arial"/>
          <w:b/>
          <w:bCs/>
          <w:color w:val="2E4057"/>
          <w:sz w:val="28"/>
          <w:szCs w:val="28"/>
        </w:rPr>
        <w:t xml:space="preserve">References</w:t>
      </w:r>
    </w:p>
    <w:p>
      <w:pPr>
        <w:spacing w:after="80" w:before="80" w:line="360"/>
        <w:jc w:val="both"/>
      </w:pPr>
      <w:r>
        <w:rPr>
          <w:rFonts w:ascii="Arial" w:cs="Arial" w:eastAsia="Arial" w:hAnsi="Arial"/>
          <w:sz w:val="22"/>
          <w:szCs w:val="22"/>
        </w:rPr>
        <w:t xml:space="preserve">[1] Vaswani, A., et al. (2017). Attention is all you need. Advances in Neural Information Processing Systems, 30.</w:t>
      </w:r>
    </w:p>
    <w:p>
      <w:pPr>
        <w:spacing w:after="60" w:before="60"/>
      </w:pPr>
      <w:r>
        <w:t xml:space="preserve"/>
      </w:r>
    </w:p>
    <w:p>
      <w:pPr>
        <w:spacing w:after="80" w:before="80" w:line="360"/>
        <w:jc w:val="both"/>
      </w:pPr>
      <w:r>
        <w:rPr>
          <w:rFonts w:ascii="Arial" w:cs="Arial" w:eastAsia="Arial" w:hAnsi="Arial"/>
          <w:sz w:val="22"/>
          <w:szCs w:val="22"/>
        </w:rPr>
        <w:t xml:space="preserve">[2] Helsinki-NLP. (2020). Opus-MT: An open source toolkit for neural machine translation. HuggingFace Model Hub.</w:t>
      </w:r>
    </w:p>
    <w:p>
      <w:pPr>
        <w:spacing w:after="60" w:before="60"/>
      </w:pPr>
      <w:r>
        <w:t xml:space="preserve"/>
      </w:r>
    </w:p>
    <w:p>
      <w:pPr>
        <w:spacing w:after="80" w:before="80" w:line="360"/>
        <w:jc w:val="both"/>
      </w:pPr>
      <w:r>
        <w:rPr>
          <w:rFonts w:ascii="Arial" w:cs="Arial" w:eastAsia="Arial" w:hAnsi="Arial"/>
          <w:sz w:val="22"/>
          <w:szCs w:val="22"/>
        </w:rPr>
        <w:t xml:space="preserve">[3] AI4Bharat. (2023). IndicTrans2: Towards high-quality and accessible machine translation models for all 22 scheduled Indian languages. arXiv:2305.16307.</w:t>
      </w:r>
    </w:p>
    <w:p>
      <w:pPr>
        <w:spacing w:after="60" w:before="60"/>
      </w:pPr>
      <w:r>
        <w:t xml:space="preserve"/>
      </w:r>
    </w:p>
    <w:p>
      <w:pPr>
        <w:spacing w:after="80" w:before="80" w:line="360"/>
        <w:jc w:val="both"/>
      </w:pPr>
      <w:r>
        <w:rPr>
          <w:rFonts w:ascii="Arial" w:cs="Arial" w:eastAsia="Arial" w:hAnsi="Arial"/>
          <w:sz w:val="22"/>
          <w:szCs w:val="22"/>
        </w:rPr>
        <w:t xml:space="preserve">[4] Post, M. (2018). A call for clarity in reporting BLEU scores. Proceedings of the Third Conference on Machine Translation, 186–191.</w:t>
      </w:r>
    </w:p>
    <w:p>
      <w:pPr>
        <w:spacing w:after="60" w:before="60"/>
      </w:pPr>
      <w:r>
        <w:t xml:space="preserve"/>
      </w:r>
    </w:p>
    <w:p>
      <w:pPr>
        <w:spacing w:after="80" w:before="80" w:line="360"/>
        <w:jc w:val="both"/>
      </w:pPr>
      <w:r>
        <w:rPr>
          <w:rFonts w:ascii="Arial" w:cs="Arial" w:eastAsia="Arial" w:hAnsi="Arial"/>
          <w:sz w:val="22"/>
          <w:szCs w:val="22"/>
        </w:rPr>
        <w:t xml:space="preserve">[5] Wolf, T., et al. (2020). HuggingFace's Transformers: State-of-the-art natural language processing. EMNLP 2020 Demonstrations.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2026-06-08T07:15:55.142Z</dcterms:created>
  <dcterms:modified xsi:type="dcterms:W3CDTF">2026-06-08T07:15:55.142Z</dcterms:modified>
</cp:coreProperties>
</file>

<file path=docProps/custom.xml><?xml version="1.0" encoding="utf-8"?>
<Properties xmlns="http://schemas.openxmlformats.org/officeDocument/2006/custom-properties" xmlns:vt="http://schemas.openxmlformats.org/officeDocument/2006/docPropsVTypes"/>
</file>