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[Author Name]a,*</w:t>
      </w:r>
    </w:p>
    <w:p>
      <w:pPr>
        <w:spacing w:line="360" w:lineRule="auto" w:after="120"/>
      </w:pPr>
      <w:r>
        <w:rPr>
          <w:sz w:val="22"/>
          <w:szCs w:val="22"/>
        </w:rPr>
        <w:t xml:space="preserve">a [Department, Institution, Full Postal Address, Country]</w:t>
      </w:r>
    </w:p>
    <w:p>
      <w:pPr>
        <w:spacing w:line="360" w:lineRule="auto" w:after="120"/>
      </w:pPr>
      <w:r>
        <w:rPr>
          <w:sz w:val="22"/>
          <w:szCs w:val="22"/>
        </w:rPr>
        <w:t xml:space="preserve">* Corresponding author. E-mail address: [author@institution.edu]</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144.2%.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[5,6,7].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Gordon and Loeb established the economic foundations of security investment [1], followed by portfolio and game-theoretic treatments [2,3]. Knowledge-based and multi-criteria methods have since been applied to security evaluation and platform selection, including hesitant-fuzzy AHP–TOPSIS models [8] and fuzzy multi-criteria frameworks for cybersecurity platform selection [9]. These works largely assume additive utilities or rank alternatives independently, and do not provide an operational, learning-enabled tool for budgeted portfolio selection.</w:t>
      </w:r>
    </w:p>
    <w:p>
      <w:pPr>
        <w:spacing w:line="360" w:lineRule="auto" w:after="120"/>
      </w:pPr>
      <w:r>
        <w:rPr>
          <w:b/>
          <w:sz w:val="22"/>
          <w:szCs w:val="22"/>
        </w:rPr>
        <w:t xml:space="preserve">Machine learning for security risk.</w:t>
      </w:r>
      <w:r>
        <w:rPr>
          <w:sz w:val="22"/>
          <w:szCs w:val="22"/>
        </w:rPr>
        <w:t xml:space="preserve"> Data-driven models are now central to threat detection and risk estimation: recent surveys and empirical studies cover machine-learning-based IoT security [10], ensemble intrusion detection [11], optimized anomaly detection with gradient-boosting classifiers [12], and systematic analyses of IoT cybersecurity risk [13]. We adopt a comparable data-driven predictor to estimate per-control mitigation effectiveness, but embed it within an optimization pipeline rather than using it for detection alone.</w:t>
      </w:r>
    </w:p>
    <w:p>
      <w:pPr>
        <w:spacing w:line="360" w:lineRule="auto" w:after="120"/>
      </w:pPr>
      <w:r>
        <w:rPr>
          <w:b/>
          <w:sz w:val="22"/>
          <w:szCs w:val="22"/>
        </w:rPr>
        <w:t xml:space="preserve">Knowledge-based and explainable decision support.</w:t>
      </w:r>
      <w:r>
        <w:rPr>
          <w:sz w:val="22"/>
          <w:szCs w:val="22"/>
        </w:rPr>
        <w:t xml:space="preserve"> Expert systems and fuzzy inference have long supported risk assessment under uncertainty [4,14], and remain central to the scope of knowledge-based systems; recent instances include fuzzy unified decision techniques for healthcare security risk [15] and fuzzy-logic assessment for the industrial IoT [16]. Explainability is increasingly emphasized in AI-based decision support [17], and transparent, auditable recommendations are a core requirement for security governance. We adopt fuzzy amplification as the mechanism by which domain rules correct data-driven estimates, and our layered decomposition makes each recommendation explainable. The broader motivation—securing the digital transformation of enterprises—is well documented [18].</w:t>
      </w:r>
    </w:p>
    <w:p>
      <w:pPr>
        <w:spacing w:line="360" w:lineRule="auto" w:after="120"/>
      </w:pPr>
      <w:r>
        <w:rPr>
          <w:b/>
          <w:sz w:val="22"/>
          <w:szCs w:val="22"/>
        </w:rPr>
        <w:t xml:space="preserve">Quantum-inspired and combinatorial optimization.</w:t>
      </w:r>
      <w:r>
        <w:rPr>
          <w:sz w:val="22"/>
          <w:szCs w:val="22"/>
        </w:rPr>
        <w:t xml:space="preserve"> Han and Kim introduced quantum-inspired evolutionary algorithms for combinatorial problems [5], with subsequent surveys and advances in knapsack, feature-selection, and multi-objective tasks [6,7,19,20]. Portfolio-style selection has a rich metaheuristic literature [21], and the broader quantum-optimization toolkit—QUBO formulations [22] and quantum-inspired search—offers principled ways to handle non-additive objectives. Explainable machine learning for intrusion detection further motivates transparent models in security [23].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four baselines: (i) random search (3200 budget-feasible samples per run); (ii) value-density greedy selection; (iii) a classical genetic algorithm (GA) with population 24, 140 generations, elitist selection (top 20%), single-point crossover, and 3% bit-flip mutation; and (iv) an exact dynamic-programming optimizer of the </w:t>
      </w:r>
      <w:r>
        <w:rPr>
          <w:i/>
          <w:sz w:val="22"/>
          <w:szCs w:val="22"/>
        </w:rPr>
        <w:t xml:space="preserve">linear</w:t>
      </w:r>
      <w:r>
        <w:rPr>
          <w:sz w:val="22"/>
          <w:szCs w:val="22"/>
        </w:rPr>
        <w:t xml:space="preserve"> surrogate (synergy-blind). For a controlled comparison the GA and the QIEA use the same population size (24) and generation budget (140); the QIEA additionally uses a rotation step Δθ = 0.035 rad. All optimizers maximize the identical quadratic objective of Eq. (2) and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Although the QIEA and the GA share the same population and generation budget, the QIEA's edge (0.06% versus 0.54% gap) arises from its probabilistic qubit representation: rather than recombining fixed bit-strings, it maintains a per-control probability amplitude that the rotation gate steers toward promising regions, which — combined with the final local-search refinement — yields more reliable exploitation of the sparse synergy pairs.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(iii) The gains are economically material — a 7.5% increase in realized risk reduction and a return on security investment rising to 145% — achieved purely by reallocating a fixed budget, requiring no additional spend.</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[24]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[Author Name]:</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[24].</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L.A. Gordon, M.P. Loeb, The economics of information security investment, ACM Trans. Inf. Syst. Secur. 5 (2002) 438–457. https://doi.org/10.1145/581271.581274.</w:t>
      </w:r>
    </w:p>
    <w:p>
      <w:pPr>
        <w:spacing w:line="360" w:lineRule="auto" w:after="120"/>
      </w:pPr>
      <w:r>
        <w:rPr>
          <w:sz w:val="22"/>
          <w:szCs w:val="22"/>
        </w:rPr>
        <w:t xml:space="preserve">[2] J. Grossklags, N. Christin, J. Chuang, Secure or insure? A game-theoretic analysis of information security games, in: Proc. 17th Int. Conf. World Wide Web, ACM, 2008, pp. 209–218. https://doi.org/10.1145/1367497.1367526.</w:t>
      </w:r>
    </w:p>
    <w:p>
      <w:pPr>
        <w:spacing w:line="360" w:lineRule="auto" w:after="120"/>
      </w:pPr>
      <w:r>
        <w:rPr>
          <w:sz w:val="22"/>
          <w:szCs w:val="22"/>
        </w:rPr>
        <w:t xml:space="preserve">[3] V.M. Bier, S. Oliveros, L. Samuelson, Choosing what to protect: strategic defensive allocation against an unknown attacker, J. Public Econ. Theory 9 (2007) 563–587. https://doi.org/10.1111/j.1467-9779.2007.00320.x.</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Zhang, S. Wang, G. Ji, A comprehensive survey on quantum-inspired optimization algorithms, Artif. Intell. Rev. 54 (2021) 1–45. https://doi.org/10.1007/s10462-020-09922-6.</w:t>
      </w:r>
    </w:p>
    <w:p>
      <w:pPr>
        <w:spacing w:line="360" w:lineRule="auto" w:after="120"/>
      </w:pPr>
      <w:r>
        <w:rPr>
          <w:sz w:val="22"/>
          <w:szCs w:val="22"/>
        </w:rPr>
        <w:t xml:space="preserve">[7] A. Layeb, A novel quantum-inspired cuckoo search algorithm for the 0-1 knapsack problem, Int. J. Bio-Inspired Comput. 3 (2011) 297–305. https://doi.org/10.1504/IJBIC.2011.042260.</w:t>
      </w:r>
    </w:p>
    <w:p>
      <w:pPr>
        <w:spacing w:line="360" w:lineRule="auto" w:after="120"/>
      </w:pPr>
      <w:r>
        <w:rPr>
          <w:sz w:val="22"/>
          <w:szCs w:val="22"/>
        </w:rPr>
        <w:t xml:space="preserve">[8] R. Kumar, et al., A knowledge-based integrated system of hesitant fuzzy set, AHP and TOPSIS for evaluating security–durability of web applications, IEEE Access 8 (2020) 48870–48885. https://doi.org/10.1109/ACCESS.2020.2978038.</w:t>
      </w:r>
    </w:p>
    <w:p>
      <w:pPr>
        <w:spacing w:line="360" w:lineRule="auto" w:after="120"/>
      </w:pPr>
      <w:r>
        <w:rPr>
          <w:sz w:val="22"/>
          <w:szCs w:val="22"/>
        </w:rPr>
        <w:t xml:space="preserve">[9] D.E. Ighravwe, et al., A fuzzy multi-criteria decision framework for selecting cybersecurity platforms under strategic PESTEL factors, Appl. Sci. 16 (2026) 6326. https://doi.org/10.3390/app16136326.</w:t>
      </w:r>
    </w:p>
    <w:p>
      <w:pPr>
        <w:spacing w:line="360" w:lineRule="auto" w:after="120"/>
      </w:pPr>
      <w:r>
        <w:rPr>
          <w:sz w:val="22"/>
          <w:szCs w:val="22"/>
        </w:rPr>
        <w:t xml:space="preserve">[10] M. Almars, F. Alharbi, E. Atlam, I. Mahgoub, Machine learning-based security solutions for IoT networks: a comprehensive survey, Sensors 25 (2025) 3341. https://doi.org/10.3390/s25113341.</w:t>
      </w:r>
    </w:p>
    <w:p>
      <w:pPr>
        <w:spacing w:line="360" w:lineRule="auto" w:after="120"/>
      </w:pPr>
      <w:r>
        <w:rPr>
          <w:sz w:val="22"/>
          <w:szCs w:val="22"/>
        </w:rPr>
        <w:t xml:space="preserve">[11] E. Gyamfi, et al., Evaluating ensemble learning models for intrusion detection in the Internet of Medical Things, Sensors 24 (2024) 5937. https://doi.org/10.3390/s24185937.</w:t>
      </w:r>
    </w:p>
    <w:p>
      <w:pPr>
        <w:spacing w:line="360" w:lineRule="auto" w:after="120"/>
      </w:pPr>
      <w:r>
        <w:rPr>
          <w:sz w:val="22"/>
          <w:szCs w:val="22"/>
        </w:rPr>
        <w:t xml:space="preserve">[12] A.A. Alsulami, et al., Optimizing anomaly detection through machine learning, Electronics 13 (2024) 2148. https://doi.org/10.3390/electronics13112148.</w:t>
      </w:r>
    </w:p>
    <w:p>
      <w:pPr>
        <w:spacing w:line="360" w:lineRule="auto" w:after="120"/>
      </w:pPr>
      <w:r>
        <w:rPr>
          <w:sz w:val="22"/>
          <w:szCs w:val="22"/>
        </w:rPr>
        <w:t xml:space="preserve">[13] M. Humayun, et al., Cybersecurity risk analysis in the IoT: a systematic review, Electronics 12 (2023) 3958. https://doi.org/10.3390/electronics12183958.</w:t>
      </w:r>
    </w:p>
    <w:p>
      <w:pPr>
        <w:spacing w:line="360" w:lineRule="auto" w:after="120"/>
      </w:pPr>
      <w:r>
        <w:rPr>
          <w:sz w:val="22"/>
          <w:szCs w:val="22"/>
        </w:rPr>
        <w:t xml:space="preserve">[14] L.A. Zadeh, Fuzzy sets, Inf. Control 8 (1965) 338–353. https://doi.org/10.1016/S0019-9958(65)90241-X.</w:t>
      </w:r>
    </w:p>
    <w:p>
      <w:pPr>
        <w:spacing w:line="360" w:lineRule="auto" w:after="120"/>
      </w:pPr>
      <w:r>
        <w:rPr>
          <w:sz w:val="22"/>
          <w:szCs w:val="22"/>
        </w:rPr>
        <w:t xml:space="preserve">[15] M.T.J. Ansari, et al., A fuzzy-based unified decision-making technique to evaluate security risks: a healthcare perspective, Mathematics 11 (2023) 2554. https://doi.org/10.3390/math11112554.</w:t>
      </w:r>
    </w:p>
    <w:p>
      <w:pPr>
        <w:spacing w:line="360" w:lineRule="auto" w:after="120"/>
      </w:pPr>
      <w:r>
        <w:rPr>
          <w:sz w:val="22"/>
          <w:szCs w:val="22"/>
        </w:rPr>
        <w:t xml:space="preserve">[16] V. Bolgova, et al., Fuzzy logic and its application in the assessment of information security risk of industrial Internet of Things, Symmetry 15 (2023) 1958. https://doi.org/10.3390/sym15101958.</w:t>
      </w:r>
    </w:p>
    <w:p>
      <w:pPr>
        <w:spacing w:line="360" w:lineRule="auto" w:after="120"/>
      </w:pPr>
      <w:r>
        <w:rPr>
          <w:sz w:val="22"/>
          <w:szCs w:val="22"/>
        </w:rPr>
        <w:t xml:space="preserve">[17] P. Chakraborty, et al., Explainable artificial intelligence-based decision support systems: a recent review, Electronics 13 (2024) 2842. https://doi.org/10.3390/electronics13142842.</w:t>
      </w:r>
    </w:p>
    <w:p>
      <w:pPr>
        <w:spacing w:line="360" w:lineRule="auto" w:after="120"/>
      </w:pPr>
      <w:r>
        <w:rPr>
          <w:sz w:val="22"/>
          <w:szCs w:val="22"/>
        </w:rPr>
        <w:t xml:space="preserve">[18] S. Teng, et al., A synthetic review on enterprise digital transformation: a bibliometric analysis, Sustainability 16 (2024) 1836. https://doi.org/10.3390/su16051836.</w:t>
      </w:r>
    </w:p>
    <w:p>
      <w:pPr>
        <w:spacing w:line="360" w:lineRule="auto" w:after="120"/>
      </w:pPr>
      <w:r>
        <w:rPr>
          <w:sz w:val="22"/>
          <w:szCs w:val="22"/>
        </w:rPr>
        <w:t xml:space="preserve">[19] Z. Zhang, et al., MOQEA/D: multi-objective QEA with decomposition mechanism and excellent global search and its application, IEEE Trans. Intell. Transp. Syst. 25 (2024) 12456–12470. https://doi.org/10.1109/TITS.2024.3373510.</w:t>
      </w:r>
    </w:p>
    <w:p>
      <w:pPr>
        <w:spacing w:line="360" w:lineRule="auto" w:after="120"/>
      </w:pPr>
      <w:r>
        <w:rPr>
          <w:sz w:val="22"/>
          <w:szCs w:val="22"/>
        </w:rPr>
        <w:t xml:space="preserve">[20] G. Acampora, A. Vitiello, Quantum-inspired evolutionary algorithms: a survey of recent advances and applications, IEEE Comput. Intell. Mag. 18 (2023) 36–50. https://doi.org/10.1109/MCI.2023.3304085. [bibliographic fields to verify]</w:t>
      </w:r>
    </w:p>
    <w:p>
      <w:pPr>
        <w:spacing w:line="360" w:lineRule="auto" w:after="120"/>
      </w:pPr>
      <w:r>
        <w:rPr>
          <w:sz w:val="22"/>
          <w:szCs w:val="22"/>
        </w:rPr>
        <w:t xml:space="preserve">[21] P.K. Gupta, et al., Portfolio optimization problem: a taxonomic review of solution methodologies, IEEE Access 11 (2023) 33100–33120. https://doi.org/10.1109/ACCESS.2023.3263198.</w:t>
      </w:r>
    </w:p>
    <w:p>
      <w:pPr>
        <w:spacing w:line="360" w:lineRule="auto" w:after="120"/>
      </w:pPr>
      <w:r>
        <w:rPr>
          <w:sz w:val="22"/>
          <w:szCs w:val="22"/>
        </w:rPr>
        <w:t xml:space="preserve">[22] F. Glover, G. Kochenberger, Y. Du, Quantum bridge analytics I: a tutorial on formulating and using QUBO models, 4OR 17 (2019) 335–371. https://doi.org/10.1007/s10288-019-00424-y.</w:t>
      </w:r>
    </w:p>
    <w:p>
      <w:pPr>
        <w:spacing w:line="360" w:lineRule="auto" w:after="120"/>
      </w:pPr>
      <w:r>
        <w:rPr>
          <w:sz w:val="22"/>
          <w:szCs w:val="22"/>
        </w:rPr>
        <w:t xml:space="preserve">[23] D. Schlör, et al., Explainable machine learning for intrusion detection, Comput. Secur. 128 (2023) 103160. https://doi.org/10.1016/j.cose.2023.103160. [bibliographic fields to verify]</w:t>
      </w:r>
    </w:p>
    <w:p>
      <w:pPr>
        <w:spacing w:line="360" w:lineRule="auto" w:after="120"/>
      </w:pPr>
      <w:r>
        <w:rPr>
          <w:sz w:val="22"/>
          <w:szCs w:val="22"/>
        </w:rPr>
        <w:t xml:space="preserve">[24] [Author Name], QAI-CIP: Quantum-Inspired AI for Cybersecurity Investment Prioritization [software], GitHub, 2026. https://github.com/AshokPrjcts/Journal/tree/main/qai-cyber-investment.</w:t>
      </w:r>
    </w:p>
    <w:sectPr>
      <w:pgSz w:w="11906" w:h="16838"/>
      <w:pgMar w:top="1440" w:right="1440" w:bottom="1440" w:left="144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s>
</file>