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The accelerating volume and sophistication of cyberattacks have made artificial-intelligence-driven defence a practical necessity, with machine-learning models now routinely deployed for intrusion detection and risk estimation across enterprise and IoT environments. Yet detection capability is only half of the problem: 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Quantifying and prioritizing security weaknesses underpins any investment decision; principled vulnerability-metric frameworks move beyond static severity scores toward context-aware ranking [1], and empirical studies link cyber-attack exposure and organizational capability to investment levels [3]. Combinatorial decision-support methods frame project and resource selection as budget-constrained optimization [2]. Knowledge-based and multi-criteria methods have also been applied to security evaluation, including hesitant-fuzzy AHP–TOPSIS models for security–durability assessment [7], while machine-learning-based intrusion detection has been studied extensively for IoT networks [8]. These works largely assume additive utilities, rank alternatives independently, or target detection rather than budgeting, and do not provide an operational tool for budgeted portfolio selection.</w:t>
      </w:r>
    </w:p>
    <w:p>
      <w:pPr>
        <w:spacing w:line="360" w:lineRule="auto" w:after="120"/>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[9], ensemble intrusion detection [10], machine-learning-based anomaly detection in server logs [11], and unsupervised anomaly detection over streaming cybersecurity logs [12]. We adopt a comparable data-driven predictor to estimate per-control mitigation effectiveness, but embed it within an optimization pipeline rather than using it for detection alone.</w:t>
      </w:r>
    </w:p>
    <w:p>
      <w:pPr>
        <w:spacing w:line="360" w:lineRule="auto" w:after="120"/>
      </w:pPr>
      <w:r>
        <w:rPr>
          <w:b/>
          <w:sz w:val="22"/>
          <w:szCs w:val="22"/>
        </w:rPr>
        <w:t xml:space="preserve">Knowledge-based and explainable decision support.</w:t>
      </w:r>
      <w:r>
        <w:rPr>
          <w:sz w:val="22"/>
          <w:szCs w:val="22"/>
        </w:rPr>
        <w:t xml:space="preserve"> Expert systems and fuzzy inference have long supported risk assessment under uncertainty [4,13], and remain central to the scope of knowledge-based systems; recent instances include intuitionistic-fuzzy TOPSIS methods for multi-attribute decision-making [14],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line="360" w:lineRule="auto" w:after="120"/>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advances on the 0-1 knapsack problem [6] and in multi-objective and clustering tasks [19,20]. Portfolio-style selection has a rich metaheuristic literature [21], and the broader quantum-optimization toolkit—QUBO formulations [22] and quantum-inspired search—offers principled ways to handle non-additive objectives. Deep and federated anomaly-detection models for zero-day cyberattacks further motivate data-driven security analytics [23].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20"/>
      </w:pPr>
      <w:r>
        <w:rPr>
          <w:b/>
          <w:sz w:val="24"/>
          <w:szCs w:val="24"/>
        </w:rPr>
        <w:t xml:space="preserve">3.5 Positioning and complexity</w:t>
      </w:r>
    </w:p>
    <w:p>
      <w:pPr>
        <w:spacing w:line="360" w:lineRule="auto" w:after="120"/>
      </w:pPr>
      <w:r>
        <w:rPr>
          <w:sz w:val="22"/>
          <w:szCs w:val="22"/>
        </w:rPr>
        <w:t xml:space="preserve">The quadratic objective in Eq. (2) is an instance of the quadratic knapsack problem, which is NP-hard; exact solution is intractable for realistic portfolio sizes, motivating the metaheuristic route taken by the broader portfolio-optimization literature [21]. Our choice of a quantum-inspired evolutionary algorithm is deliberate: quantum-inspired metaheuristics retain a compact probabilistic (qubit) state that balances exploration and exploitation without the overhead of maintaining an explicit population of full solutions, and have repeatedly outperformed classical evolutionary algorithms on combinatorial benchmarks [6,14,19,20]. The objective can equivalently be expressed as a quadratic unconstrained binary optimization (QUBO) model after a penalty reformulation of the budget constraint [22], which makes the framework portable to quantum-annealing and gate-based hardware in future work while remaining fully classical here. Each QIEA generation costs </w:t>
      </w:r>
      <w:r>
        <w:rPr>
          <w:i/>
          <w:sz w:val="22"/>
          <w:szCs w:val="22"/>
        </w:rPr>
        <w:t xml:space="preserve">O</w:t>
      </w:r>
      <w:r>
        <w:rPr>
          <w:sz w:val="22"/>
          <w:szCs w:val="22"/>
        </w:rPr>
        <w:t xml:space="preserve">(</w:t>
      </w:r>
      <w:r>
        <w:rPr>
          <w:i/>
          <w:sz w:val="22"/>
          <w:szCs w:val="22"/>
        </w:rPr>
        <w:t xml:space="preserve">P</w:t>
      </w:r>
      <w:r>
        <w:rPr>
          <w:sz w:val="22"/>
          <w:szCs w:val="22"/>
        </w:rPr>
        <w:t xml:space="preserve">·(</w:t>
      </w:r>
      <w:r>
        <w:rPr>
          <w:i/>
          <w:sz w:val="22"/>
          <w:szCs w:val="22"/>
        </w:rPr>
        <w:t xml:space="preserve">n</w:t>
      </w:r>
      <w:r>
        <w:rPr>
          <w:sz w:val="22"/>
          <w:szCs w:val="22"/>
        </w:rPr>
        <w:t xml:space="preserve"> + |</w:t>
      </w:r>
      <w:r>
        <w:rPr>
          <w:i/>
          <w:sz w:val="22"/>
          <w:szCs w:val="22"/>
        </w:rPr>
        <w:t xml:space="preserve">S</w:t>
      </w:r>
      <w:r>
        <w:rPr>
          <w:sz w:val="22"/>
          <w:szCs w:val="22"/>
        </w:rPr>
        <w:t xml:space="preserve">|)) time — linear in the number of controls </w:t>
      </w:r>
      <w:r>
        <w:rPr>
          <w:i/>
          <w:sz w:val="22"/>
          <w:szCs w:val="22"/>
        </w:rPr>
        <w:t xml:space="preserve">n</w:t>
      </w:r>
      <w:r>
        <w:rPr>
          <w:sz w:val="22"/>
          <w:szCs w:val="22"/>
        </w:rPr>
        <w:t xml:space="preserve"> and synergy pairs |</w:t>
      </w:r>
      <w:r>
        <w:rPr>
          <w:i/>
          <w:sz w:val="22"/>
          <w:szCs w:val="22"/>
        </w:rPr>
        <w:t xml:space="preserve">S</w:t>
      </w:r>
      <w:r>
        <w:rPr>
          <w:sz w:val="22"/>
          <w:szCs w:val="22"/>
        </w:rPr>
        <w:t xml:space="preserve">| — so the method scales gracefully; the full 20-seed study completes in roughly twenty seconds on a commodity CPU.</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This aligns with the growing demand for explainability in AI-based security decision support [17], where opaque, black-box recommendations are a barrier to adoption. (iii) The gains are economically material — a 7.5% increase in realized risk reduction and a return on security investment rising to 145% — achieved purely by reallocating a fixed budget, requiring no additional spend. As enterprises accelerate their digital transformation and the attack surface widens accordingly [18], such budget-efficient, interaction-aware prioritization becomes increasingly valuable.</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M. Albanese, I. Iganibo, O. Adebiyi, A framework for designing vulnerability metrics, Comput. Secur. 132 (2023) 103382. https://doi.org/10.1016/j.cose.2023.103382.</w:t>
      </w:r>
    </w:p>
    <w:p>
      <w:pPr>
        <w:spacing w:line="360" w:lineRule="auto" w:after="120"/>
      </w:pPr>
      <w:r>
        <w:rPr>
          <w:sz w:val="22"/>
          <w:szCs w:val="22"/>
        </w:rPr>
        <w:t xml:space="preserve">[2] A. Marcelli, et al., Solving transport infrastructure investment project selection and scheduling using genetic algorithms, Mathematics 12 (2024) 3056. https://doi.org/10.3390/math12193056.</w:t>
      </w:r>
    </w:p>
    <w:p>
      <w:pPr>
        <w:spacing w:line="360" w:lineRule="auto" w:after="120"/>
      </w:pPr>
      <w:r>
        <w:rPr>
          <w:sz w:val="22"/>
          <w:szCs w:val="22"/>
        </w:rPr>
        <w:t xml:space="preserve">[3] J. Jeong, A. Mbakwe, et al., Cybersecurity capabilities and cyber-attacks as drivers of investment in cybersecurity systems: a UK survey for 2018 and 2019, Comput. Secur. 124 (2023) 102954. https://doi.org/10.1016/j.cose.2022.102954.</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Wang, et al., Quantum-inspired differential evolution with grey wolf optimizer for 0-1 knapsack problem, Mathematics 9 (2021) 1233. https://doi.org/10.3390/math9111233.</w:t>
      </w:r>
    </w:p>
    <w:p>
      <w:pPr>
        <w:spacing w:line="360" w:lineRule="auto" w:after="120"/>
      </w:pPr>
      <w:r>
        <w:rPr>
          <w:sz w:val="22"/>
          <w:szCs w:val="22"/>
        </w:rPr>
        <w:t xml:space="preserve">[7] R. Kumar, et al., A knowledge-based integrated system of hesitant fuzzy set, AHP and TOPSIS for evaluating security–durability of web applications, IEEE Access 8 (2020) 48870–48885. https://doi.org/10.1109/ACCESS.2020.2978038.</w:t>
      </w:r>
    </w:p>
    <w:p>
      <w:pPr>
        <w:spacing w:line="360" w:lineRule="auto" w:after="120"/>
      </w:pPr>
      <w:r>
        <w:rPr>
          <w:sz w:val="22"/>
          <w:szCs w:val="22"/>
        </w:rPr>
        <w:t xml:space="preserve">[8] E. Altulaihan, M.A. Almaiah, A. Aljughaiman, Anomaly detection IDS for detecting DoS attacks in IoT networks based on machine learning algorithms, Sensors 24 (2024) 713. https://doi.org/10.3390/s24020713.</w:t>
      </w:r>
    </w:p>
    <w:p>
      <w:pPr>
        <w:spacing w:line="360" w:lineRule="auto" w:after="120"/>
      </w:pPr>
      <w:r>
        <w:rPr>
          <w:sz w:val="22"/>
          <w:szCs w:val="22"/>
        </w:rPr>
        <w:t xml:space="preserve">[9] M. Almars, F. Alharbi, E. Atlam, I. Mahgoub, Machine learning-based security solutions for IoT networks: a comprehensive survey, Sensors 25 (2025) 3341. https://doi.org/10.3390/s25113341.</w:t>
      </w:r>
    </w:p>
    <w:p>
      <w:pPr>
        <w:spacing w:line="360" w:lineRule="auto" w:after="120"/>
      </w:pPr>
      <w:r>
        <w:rPr>
          <w:sz w:val="22"/>
          <w:szCs w:val="22"/>
        </w:rPr>
        <w:t xml:space="preserve">[10] E. Gyamfi, et al., Evaluating ensemble learning models for intrusion detection in the Internet of Medical Things, Sensors 24 (2024) 5937. https://doi.org/10.3390/s24185937.</w:t>
      </w:r>
    </w:p>
    <w:p>
      <w:pPr>
        <w:spacing w:line="360" w:lineRule="auto" w:after="120"/>
      </w:pPr>
      <w:r>
        <w:rPr>
          <w:sz w:val="22"/>
          <w:szCs w:val="22"/>
        </w:rPr>
        <w:t xml:space="preserve">[11] G. Folino, et al., Comprehensive analysis and evaluation of anomalous user activity in web server logs, Sensors 24 (2024) 746. https://doi.org/10.3390/s24030746.</w:t>
      </w:r>
    </w:p>
    <w:p>
      <w:pPr>
        <w:spacing w:line="360" w:lineRule="auto" w:after="120"/>
      </w:pPr>
      <w:r>
        <w:rPr>
          <w:sz w:val="22"/>
          <w:szCs w:val="22"/>
        </w:rPr>
        <w:t xml:space="preserve">[12] Á. Michelena, et al., Design and evaluation of unsupervised machine learning models for anomaly detection in streaming cybersecurity logs, Mathematics 10 (2022) 4043. https://doi.org/10.3390/math10214043.</w:t>
      </w:r>
    </w:p>
    <w:p>
      <w:pPr>
        <w:spacing w:line="360" w:lineRule="auto" w:after="120"/>
      </w:pPr>
      <w:r>
        <w:rPr>
          <w:sz w:val="22"/>
          <w:szCs w:val="22"/>
        </w:rPr>
        <w:t xml:space="preserve">[13] L.A. Zadeh, Fuzzy sets, Inf. Control 8 (1965) 338–353. https://doi.org/10.1016/S0019-9958(65)90241-X.</w:t>
      </w:r>
    </w:p>
    <w:p>
      <w:pPr>
        <w:spacing w:line="360" w:lineRule="auto" w:after="120"/>
      </w:pPr>
      <w:r>
        <w:rPr>
          <w:sz w:val="22"/>
          <w:szCs w:val="22"/>
        </w:rPr>
        <w:t xml:space="preserve">[14] C. Çalı, et al., Intuitionistic fuzzy sets with ordered pairs and their usage in multi-attribute decision making: a novel intuitionistic fuzzy TOPSIS method, Mathematics 11 (2023) 3867. https://doi.org/10.3390/math11183867.</w:t>
      </w:r>
    </w:p>
    <w:p>
      <w:pPr>
        <w:spacing w:line="360" w:lineRule="auto" w:after="120"/>
      </w:pPr>
      <w:r>
        <w:rPr>
          <w:sz w:val="22"/>
          <w:szCs w:val="22"/>
        </w:rPr>
        <w:t xml:space="preserve">[15] M.T.J. Ansari, et al., A fuzzy-based unified decision-making technique to evaluate security risks: a healthcare perspective, Mathematics 11 (2023) 2554. https://doi.org/10.3390/math11112554.</w:t>
      </w:r>
    </w:p>
    <w:p>
      <w:pPr>
        <w:spacing w:line="360" w:lineRule="auto" w:after="120"/>
      </w:pPr>
      <w:r>
        <w:rPr>
          <w:sz w:val="22"/>
          <w:szCs w:val="22"/>
        </w:rPr>
        <w:t xml:space="preserve">[16] V. Bolgova, et al., Fuzzy logic and its application in the assessment of information security risk of industrial Internet of Things, Symmetry 15 (2023) 1958. https://doi.org/10.3390/sym15101958.</w:t>
      </w:r>
    </w:p>
    <w:p>
      <w:pPr>
        <w:spacing w:line="360" w:lineRule="auto" w:after="120"/>
      </w:pPr>
      <w:r>
        <w:rPr>
          <w:sz w:val="22"/>
          <w:szCs w:val="22"/>
        </w:rPr>
        <w:t xml:space="preserve">[17] F. Ullah, et al., An intrusion detection system over the IoT data streams using eXplainable artificial intelligence (XAI), Sensors 25 (2025) 847. https://doi.org/10.3390/s25030847.</w:t>
      </w:r>
    </w:p>
    <w:p>
      <w:pPr>
        <w:spacing w:line="360" w:lineRule="auto" w:after="120"/>
      </w:pPr>
      <w:r>
        <w:rPr>
          <w:sz w:val="22"/>
          <w:szCs w:val="22"/>
        </w:rPr>
        <w:t xml:space="preserve">[18] S. Teng, et al., A synthetic review on enterprise digital transformation: a bibliometric analysis, Sustainability 16 (2024) 1836. https://doi.org/10.3390/su16051836.</w:t>
      </w:r>
    </w:p>
    <w:p>
      <w:pPr>
        <w:spacing w:line="360" w:lineRule="auto" w:after="120"/>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line="360" w:lineRule="auto" w:after="120"/>
      </w:pPr>
      <w:r>
        <w:rPr>
          <w:sz w:val="22"/>
          <w:szCs w:val="22"/>
        </w:rPr>
        <w:t xml:space="preserve">[20] A. Dey, S. Bhattacharyya, S. Dey, D. Konar, J. Platoš, V. Snášel, L. Mrsic, P. Pal, A review of quantum-inspired metaheuristic algorithms for automatic clustering, Mathematics 11 (2023) 2018. https://doi.org/10.3390/math11092018.</w:t>
      </w:r>
    </w:p>
    <w:p>
      <w:pPr>
        <w:spacing w:line="360" w:lineRule="auto" w:after="120"/>
      </w:pPr>
      <w:r>
        <w:rPr>
          <w:sz w:val="22"/>
          <w:szCs w:val="22"/>
        </w:rPr>
        <w:t xml:space="preserve">[21] P.K. Gupta, et al., Portfolio optimization problem: a taxonomic review of solution methodologies, IEEE Access 11 (2023) 33100–33120. https://doi.org/10.1109/ACCESS.2023.3263198.</w:t>
      </w:r>
    </w:p>
    <w:p>
      <w:pPr>
        <w:spacing w:line="360" w:lineRule="auto" w:after="120"/>
      </w:pPr>
      <w:r>
        <w:rPr>
          <w:sz w:val="22"/>
          <w:szCs w:val="22"/>
        </w:rPr>
        <w:t xml:space="preserve">[22] M. Nakano, et al., Multi-objective optimization technique based on QUBO and an Ising machine, IEEE Access 12 (2024) 10357–10370. https://doi.org/10.1109/ACCESS.2024.3353194.</w:t>
      </w:r>
    </w:p>
    <w:p>
      <w:pPr>
        <w:spacing w:line="360" w:lineRule="auto" w:after="120"/>
      </w:pPr>
      <w:r>
        <w:rPr>
          <w:sz w:val="22"/>
          <w:szCs w:val="22"/>
        </w:rPr>
        <w:t xml:space="preserve">[23] A. Diaba, et al., Deep anomaly detection framework utilizing federated learning for electricity theft zero-day cyberattacks, Sensors 24 (2024) 3236. https://doi.org/10.3390/s24103236.</w:t>
      </w:r>
    </w:p>
    <w:p>
      <w:pPr>
        <w:spacing w:line="360" w:lineRule="auto" w:after="120"/>
      </w:pPr>
      <w:r>
        <w:rPr>
          <w:sz w:val="22"/>
          <w:szCs w:val="22"/>
        </w:rPr>
        <w:t xml:space="preserve">[24]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