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These works largely assume additive utilities and do not provide an operational, learning-enabled decision tool.</w:t>
      </w:r>
    </w:p>
    <w:p>
      <w:pPr>
        <w:spacing w:line="360" w:lineRule="auto" w:after="120"/>
      </w:pPr>
      <w:r>
        <w:rPr>
          <w:b/>
          <w:sz w:val="22"/>
          <w:szCs w:val="22"/>
        </w:rPr>
        <w:t xml:space="preserve">Knowledge-based decision support.</w:t>
      </w:r>
      <w:r>
        <w:rPr>
          <w:sz w:val="22"/>
          <w:szCs w:val="22"/>
        </w:rPr>
        <w:t xml:space="preserve"> Expert systems and fuzzy inference have long supported risk assessment under uncertainty [4,8], and remain central to the scope of knowledge-based systems. We adopt fuzzy amplification as the mechanism by which domain rules correct data-driven estimates.</w:t>
      </w:r>
    </w:p>
    <w:p>
      <w:pPr>
        <w:spacing w:line="360" w:lineRule="auto" w:after="120"/>
      </w:pPr>
      <w:r>
        <w:rPr>
          <w:b/>
          <w:sz w:val="22"/>
          <w:szCs w:val="22"/>
        </w:rPr>
        <w:t xml:space="preserve">Quantum-inspired optimization.</w:t>
      </w:r>
      <w:r>
        <w:rPr>
          <w:sz w:val="22"/>
          <w:szCs w:val="22"/>
        </w:rPr>
        <w:t xml:space="preserve"> Han and Kim introduced quantum-inspired evolutionary algorithms for combinatorial problems [5], with subsequent advances in knapsack and feature-selection tasks [6,7].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random search, value-density greedy selection, a classical genetic algorithm (GA), and an exact dynamic-programming optimizer of the </w:t>
      </w:r>
      <w:r>
        <w:rPr>
          <w:i/>
          <w:sz w:val="22"/>
          <w:szCs w:val="22"/>
        </w:rPr>
        <w:t xml:space="preserve">linear</w:t>
      </w:r>
      <w:r>
        <w:rPr>
          <w:sz w:val="22"/>
          <w:szCs w:val="22"/>
        </w:rPr>
        <w:t xml:space="preserve"> surrogate (synergy-blind).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(iii) The gains are economically material — a 7.5% increase in realized risk reduction and a return on security investment rising to 145% — achieved purely by reallocating a fixed budget, requiring no additional spend.</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[9]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[9].</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L.A. Zadeh, Fuzzy sets, Inf. Control 8 (1965) 338–353. https://doi.org/10.1016/S0019-9958(65)90241-X.</w:t>
      </w:r>
    </w:p>
    <w:p>
      <w:pPr>
        <w:spacing w:line="360" w:lineRule="auto" w:after="120"/>
      </w:pPr>
      <w:r>
        <w:rPr>
          <w:sz w:val="22"/>
          <w:szCs w:val="22"/>
        </w:rPr>
        <w:t xml:space="preserve">[9]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