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120" w:after="160" w:line="288" w:lineRule="auto"/>
        <w:jc w:val="center"/>
      </w:pPr>
      <w:r>
        <w:rPr>
          <w:b/>
          <w:sz w:val="38"/>
          <w:szCs w:val="38"/>
          <w:color w:val="1F4E79"/>
        </w:rPr>
        <w:t xml:space="preserve">Quantum-Inspired Artificial Intelligence for Cybersecurity Investment Prioritization: A Hybrid Decision Intelligence Framework</w:t>
      </w:r>
    </w:p>
    <w:p>
      <w:pPr>
        <w:spacing w:before="0" w:after="140" w:line="288" w:lineRule="auto"/>
        <w:jc w:val="both"/>
      </w:pPr>
      <w:r>
        <w:rPr>
          <w:b/>
          <w:sz w:val="22"/>
          <w:szCs w:val="22"/>
        </w:rPr>
        <w:t xml:space="preserve">Article type:</w:t>
      </w:r>
      <w:r>
        <w:rPr>
          <w:sz w:val="22"/>
          <w:szCs w:val="22"/>
        </w:rPr>
        <w:t xml:space="preserve"> Short communication</w:t>
      </w:r>
    </w:p>
    <w:p>
      <w:pPr>
        <w:spacing w:before="0" w:after="40" w:line="276" w:lineRule="auto"/>
        <w:jc w:val="center"/>
      </w:pPr>
      <w:r>
        <w:rPr>
          <w:b/>
          <w:sz w:val="24"/>
          <w:szCs w:val="24"/>
        </w:rPr>
        <w:t xml:space="preserve">Author:</w:t>
      </w:r>
      <w:r>
        <w:rPr>
          <w:sz w:val="24"/>
          <w:szCs w:val="24"/>
        </w:rPr>
        <w:t xml:space="preserve"> Ashok Kumar Saillaa,*</w:t>
      </w:r>
    </w:p>
    <w:p>
      <w:pPr>
        <w:spacing w:before="0" w:after="40" w:line="276" w:lineRule="auto"/>
        <w:jc w:val="center"/>
      </w:pPr>
      <w:r>
        <w:rPr>
          <w:i/>
          <w:sz w:val="19.0"/>
          <w:szCs w:val="19.0"/>
          <w:color w:val="595959"/>
        </w:rPr>
        <w:t xml:space="preserve">a Midwest University, United States</w:t>
      </w:r>
    </w:p>
    <w:p>
      <w:pPr>
        <w:spacing w:before="0" w:after="40" w:line="276" w:lineRule="auto"/>
        <w:jc w:val="center"/>
      </w:pPr>
      <w:r>
        <w:rPr>
          <w:i/>
          <w:sz w:val="19.0"/>
          <w:szCs w:val="19.0"/>
          <w:color w:val="595959"/>
        </w:rPr>
        <w:t xml:space="preserve">* Corresponding author. E-mail address: Ashoksailla5@gmail.com</w:t>
      </w:r>
    </w:p>
    <w:p>
      <w:pPr>
        <w:spacing w:before="240" w:after="100" w:line="276" w:lineRule="auto"/>
        <w:keepNext/>
      </w:pPr>
      <w:r>
        <w:rPr>
          <w:b/>
          <w:sz w:val="27.0"/>
          <w:szCs w:val="27.0"/>
          <w:color w:val="1F4E79"/>
        </w:rPr>
        <w:t xml:space="preserve">Highlights</w:t>
      </w:r>
    </w:p>
    <w:p>
      <w:pPr>
        <w:spacing w:before="0" w:after="50" w:line="276" w:lineRule="auto"/>
        <w:ind w:left="360"/>
      </w:pPr>
      <w:r>
        <w:rPr>
          <w:sz w:val="22"/>
          <w:szCs w:val="22"/>
        </w:rPr>
        <w:t xml:space="preserve">•  A hybrid decision-intelligence framework prioritizes cybersecurity investments.</w:t>
      </w:r>
    </w:p>
    <w:p>
      <w:pPr>
        <w:spacing w:before="0" w:after="50" w:line="276" w:lineRule="auto"/>
        <w:ind w:left="360"/>
      </w:pPr>
      <w:r>
        <w:rPr>
          <w:sz w:val="22"/>
          <w:szCs w:val="22"/>
        </w:rPr>
        <w:t xml:space="preserve">•  Learning, knowledge rules and a quantum-inspired optimizer are unified.</w:t>
      </w:r>
    </w:p>
    <w:p>
      <w:pPr>
        <w:spacing w:before="0" w:after="50" w:line="276" w:lineRule="auto"/>
        <w:ind w:left="360"/>
      </w:pPr>
      <w:r>
        <w:rPr>
          <w:sz w:val="22"/>
          <w:szCs w:val="22"/>
        </w:rPr>
        <w:t xml:space="preserve">•  Defence-in-depth synergies make budget allocation a quadratic problem.</w:t>
      </w:r>
    </w:p>
    <w:p>
      <w:pPr>
        <w:spacing w:before="0" w:after="50" w:line="276" w:lineRule="auto"/>
        <w:ind w:left="360"/>
      </w:pPr>
      <w:r>
        <w:rPr>
          <w:sz w:val="22"/>
          <w:szCs w:val="22"/>
        </w:rPr>
        <w:t xml:space="preserve">•  QIEA reaches a 0.06% gap to the best solution, beating greedy and GA.</w:t>
      </w:r>
    </w:p>
    <w:p>
      <w:pPr>
        <w:spacing w:before="0" w:after="50" w:line="276" w:lineRule="auto"/>
        <w:ind w:left="360"/>
      </w:pPr>
      <w:r>
        <w:rPr>
          <w:sz w:val="22"/>
          <w:szCs w:val="22"/>
        </w:rPr>
        <w:t xml:space="preserve">•  Ablation shows each layer adds value, lifting risk reduction by 7.5%.</w:t>
      </w:r>
    </w:p>
    <w:p>
      <w:pPr>
        <w:spacing w:before="240" w:after="100" w:line="276" w:lineRule="auto"/>
        <w:keepNext/>
      </w:pPr>
      <w:r>
        <w:rPr>
          <w:b/>
          <w:sz w:val="27.0"/>
          <w:szCs w:val="27.0"/>
          <w:color w:val="1F4E79"/>
        </w:rPr>
        <w:t xml:space="preserve">Abstract</w:t>
      </w:r>
    </w:p>
    <w:p>
      <w:pPr>
        <w:spacing w:before="0" w:after="140" w:line="288" w:lineRule="auto"/>
        <w:jc w:val="both"/>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144.2%.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before="80" w:after="160" w:line="276" w:lineRule="auto"/>
      </w:pPr>
      <w:r>
        <w:rPr>
          <w:b/>
          <w:sz w:val="20"/>
          <w:szCs w:val="20"/>
          <w:color w:val="595959"/>
        </w:rPr>
        <w:t xml:space="preserve">Keywords:</w:t>
      </w:r>
      <w:r>
        <w:rPr>
          <w:sz w:val="20"/>
          <w:szCs w:val="20"/>
          <w:color w:val="595959"/>
        </w:rPr>
        <w:t xml:space="preserve"> cybersecurity; investment; quantum-inspired; optimization; knowledge; decision-support; prioritization</w:t>
      </w:r>
    </w:p>
    <w:p>
      <w:pPr>
        <w:spacing w:before="240" w:after="100" w:line="276" w:lineRule="auto"/>
        <w:keepNext/>
      </w:pPr>
      <w:r>
        <w:rPr>
          <w:b/>
          <w:sz w:val="27.0"/>
          <w:szCs w:val="27.0"/>
          <w:color w:val="1F4E79"/>
        </w:rPr>
        <w:t xml:space="preserve">1. Introduction</w:t>
      </w:r>
    </w:p>
    <w:p>
      <w:pPr>
        <w:spacing w:before="0" w:after="140" w:line="288" w:lineRule="auto"/>
        <w:jc w:val="both"/>
      </w:pPr>
      <w:r>
        <w:rPr>
          <w:sz w:val="22"/>
          <w:szCs w:val="22"/>
        </w:rPr>
        <w:t xml:space="preserve">The accelerating volume and sophistication of cyberattacks have made artificial-intelligence-driven defence a practical necessity, with machine-learning models now routinely deployed for intrusion detection and risk estimation across enterprise and IoT environments. Yet detection capability is only half of the problem: 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before="0" w:after="140" w:line="288" w:lineRule="auto"/>
        <w:jc w:val="both"/>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before="0" w:after="140" w:line="288" w:lineRule="auto"/>
        <w:jc w:val="both"/>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before="0" w:after="50" w:line="276" w:lineRule="auto"/>
        <w:ind w:left="36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before="0" w:after="50" w:line="276" w:lineRule="auto"/>
        <w:ind w:left="36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before="0" w:after="50" w:line="276" w:lineRule="auto"/>
        <w:ind w:left="36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before="0" w:after="140" w:line="288" w:lineRule="auto"/>
        <w:jc w:val="both"/>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before="240" w:after="100" w:line="276" w:lineRule="auto"/>
        <w:keepNext/>
      </w:pPr>
      <w:r>
        <w:rPr>
          <w:b/>
          <w:sz w:val="27.0"/>
          <w:szCs w:val="27.0"/>
          <w:color w:val="1F4E79"/>
        </w:rPr>
        <w:t xml:space="preserve">2. Related work</w:t>
      </w:r>
    </w:p>
    <w:p>
      <w:pPr>
        <w:spacing w:before="0" w:after="140" w:line="288" w:lineRule="auto"/>
        <w:jc w:val="both"/>
      </w:pPr>
      <w:r>
        <w:rPr>
          <w:b/>
          <w:sz w:val="22"/>
          <w:szCs w:val="22"/>
        </w:rPr>
        <w:t xml:space="preserve">Security economics and investment.</w:t>
      </w:r>
      <w:r>
        <w:rPr>
          <w:sz w:val="22"/>
          <w:szCs w:val="22"/>
        </w:rPr>
        <w:t xml:space="preserve"> Quantifying and prioritizing security weaknesses underpins any investment decision; principled vulnerability-metric frameworks move beyond static severity scores toward context-aware ranking [1], and empirical studies link cyber-attack exposure and organizational capability to investment levels [3]. Combinatorial decision-support methods frame project and resource selection as budget-constrained optimization [2]. Knowledge-based and multi-criteria methods have also been applied to security evaluation, including hesitant-fuzzy AHP–TOPSIS models for security–durability assessment [7], while machine-learning-based intrusion detection has been studied extensively for IoT networks [8]. These works largely assume additive utilities, rank alternatives independently, or target detection rather than budgeting, and do not provide an operational tool for budgeted portfolio selection.</w:t>
      </w:r>
    </w:p>
    <w:p>
      <w:pPr>
        <w:spacing w:before="0" w:after="140" w:line="288" w:lineRule="auto"/>
        <w:jc w:val="both"/>
      </w:pPr>
      <w:r>
        <w:rPr>
          <w:b/>
          <w:sz w:val="22"/>
          <w:szCs w:val="22"/>
        </w:rPr>
        <w:t xml:space="preserve">Machine learning for security risk.</w:t>
      </w:r>
      <w:r>
        <w:rPr>
          <w:sz w:val="22"/>
          <w:szCs w:val="22"/>
        </w:rPr>
        <w:t xml:space="preserve"> Data-driven models are now central to threat detection and risk estimation: recent surveys and empirical studies cover machine-learning-based IoT security [9], ensemble intrusion detection [10], machine-learning-based anomaly detection in server logs [11], and unsupervised anomaly detection over streaming cybersecurity logs [12]. We adopt a comparable data-driven predictor to estimate per-control mitigation effectiveness, but embed it within an optimization pipeline rather than using it for detection alone.</w:t>
      </w:r>
    </w:p>
    <w:p>
      <w:pPr>
        <w:spacing w:before="0" w:after="140" w:line="288" w:lineRule="auto"/>
        <w:jc w:val="both"/>
      </w:pPr>
      <w:r>
        <w:rPr>
          <w:b/>
          <w:sz w:val="22"/>
          <w:szCs w:val="22"/>
        </w:rPr>
        <w:t xml:space="preserve">Knowledge-based and explainable decision support.</w:t>
      </w:r>
      <w:r>
        <w:rPr>
          <w:sz w:val="22"/>
          <w:szCs w:val="22"/>
        </w:rPr>
        <w:t xml:space="preserve"> Expert systems and fuzzy inference have long supported risk assessment under uncertainty [4,13], and remain central to the scope of knowledge-based systems; recent instances include intuitionistic-fuzzy TOPSIS methods for multi-attribute decision-making [14], fuzzy unified decision techniques for healthcare security risk [15], and fuzzy-logic assessment for the industrial IoT [16]. Explainability is increasingly emphasized in AI-based decision support [17], and transparent, auditable recommendations are a core requirement for security governance. We adopt fuzzy amplification as the mechanism by which domain rules correct data-driven estimates, and our layered decomposition makes each recommendation explainable. The broader motivation—securing the digital transformation of enterprises—is well documented [18].</w:t>
      </w:r>
    </w:p>
    <w:p>
      <w:pPr>
        <w:spacing w:before="0" w:after="140" w:line="288" w:lineRule="auto"/>
        <w:jc w:val="both"/>
      </w:pPr>
      <w:r>
        <w:rPr>
          <w:b/>
          <w:sz w:val="22"/>
          <w:szCs w:val="22"/>
        </w:rPr>
        <w:t xml:space="preserve">Quantum-inspired and combinatorial optimization.</w:t>
      </w:r>
      <w:r>
        <w:rPr>
          <w:sz w:val="22"/>
          <w:szCs w:val="22"/>
        </w:rPr>
        <w:t xml:space="preserve"> Han and Kim introduced quantum-inspired evolutionary algorithms for combinatorial problems [5], with subsequent advances on the 0-1 knapsack problem [6] and in multi-objective and clustering tasks [19,20]. Portfolio-style selection has a rich metaheuristic literature [21], and the broader quantum-optimization toolkit—QUBO formulations [22] and quantum-inspired search—offers principled ways to handle non-additive objectives. Deep and federated anomaly-detection models for zero-day cyberattacks further motivate data-driven security analytics [23]. We are, to our knowledge, the first to apply a QIEA to synergy-aware cybersecurity investment prioritization, and to combine it with a learning and knowledge layer in a single framework.</w:t>
      </w:r>
    </w:p>
    <w:p>
      <w:pPr>
        <w:spacing w:before="240" w:after="100" w:line="276" w:lineRule="auto"/>
        <w:keepNext/>
      </w:pPr>
      <w:r>
        <w:rPr>
          <w:b/>
          <w:sz w:val="27.0"/>
          <w:szCs w:val="27.0"/>
          <w:color w:val="1F4E79"/>
        </w:rPr>
        <w:t xml:space="preserve">3. Problem formulation and framework</w:t>
      </w:r>
    </w:p>
    <w:p>
      <w:pPr>
        <w:spacing w:before="160" w:after="80" w:line="276" w:lineRule="auto"/>
        <w:keepNext/>
      </w:pPr>
      <w:r>
        <w:rPr>
          <w:b/>
          <w:sz w:val="23.0"/>
          <w:szCs w:val="23.0"/>
          <w:color w:val="2E2E2E"/>
        </w:rPr>
        <w:t xml:space="preserve">3.1 Decision problem</w:t>
      </w:r>
    </w:p>
    <w:p>
      <w:pPr>
        <w:spacing w:before="0" w:after="140" w:line="288" w:lineRule="auto"/>
        <w:jc w:val="both"/>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before="0" w:after="0" w:line="252" w:lineRule="auto"/>
        <w:ind w:left="180"/>
        <w:shd w:val="clear" w:color="auto" w:fill="F5F7FA"/>
      </w:pPr>
      <w:r>
        <w:rPr>
          <w:rFonts w:ascii="Consolas" w:hAnsi="Consolas"/>
          <w:sz w:val="19.0"/>
          <w:szCs w:val="19.0"/>
        </w:rPr>
        <w:t xml:space="preserve">ELR(</w:t>
      </w:r>
      <w:r>
        <w:rPr>
          <w:i/>
          <w:rFonts w:ascii="Consolas" w:hAnsi="Consolas"/>
          <w:sz w:val="19.0"/>
          <w:szCs w:val="19.0"/>
        </w:rPr>
        <w:t xml:space="preserve">c</w:t>
      </w:r>
      <w:r>
        <w:rPr>
          <w:rFonts w:ascii="Consolas" w:hAnsi="Consolas"/>
          <w:sz w:val="19.0"/>
          <w:szCs w:val="19.0"/>
        </w:rPr>
        <w:t xml:space="preserve">i) = </w:t>
      </w:r>
      <w:r>
        <w:rPr>
          <w:i/>
          <w:rFonts w:ascii="Consolas" w:hAnsi="Consolas"/>
          <w:sz w:val="19.0"/>
          <w:szCs w:val="19.0"/>
        </w:rPr>
        <w:t xml:space="preserve">a</w:t>
      </w:r>
      <w:r>
        <w:rPr>
          <w:rFonts w:ascii="Consolas" w:hAnsi="Consolas"/>
          <w:sz w:val="19.0"/>
          <w:szCs w:val="19.0"/>
        </w:rPr>
        <w:t xml:space="preserve">i · </w:t>
      </w:r>
      <w:r>
        <w:rPr>
          <w:i/>
          <w:rFonts w:ascii="Consolas" w:hAnsi="Consolas"/>
          <w:sz w:val="19.0"/>
          <w:szCs w:val="19.0"/>
        </w:rPr>
        <w:t xml:space="preserve">p</w:t>
      </w:r>
      <w:r>
        <w:rPr>
          <w:rFonts w:ascii="Consolas" w:hAnsi="Consolas"/>
          <w:sz w:val="19.0"/>
          <w:szCs w:val="19.0"/>
        </w:rPr>
        <w:t xml:space="preserve">i · </w:t>
      </w:r>
      <w:r>
        <w:rPr>
          <w:i/>
          <w:rFonts w:ascii="Consolas" w:hAnsi="Consolas"/>
          <w:sz w:val="19.0"/>
          <w:szCs w:val="19.0"/>
        </w:rPr>
        <w:t xml:space="preserve">m</w:t>
      </w:r>
      <w:r>
        <w:rPr>
          <w:rFonts w:ascii="Consolas" w:hAnsi="Consolas"/>
          <w:sz w:val="19.0"/>
          <w:szCs w:val="19.0"/>
        </w:rPr>
        <w:t xml:space="preserve">i.  (1)</w:t>
      </w:r>
    </w:p>
    <w:p>
      <w:pPr>
        <w:spacing w:before="0" w:after="120" w:line="276" w:lineRule="auto"/>
      </w:pPr>
    </w:p>
    <w:p>
      <w:pPr>
        <w:spacing w:before="0" w:after="140" w:line="288" w:lineRule="auto"/>
        <w:jc w:val="both"/>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before="0" w:after="0" w:line="252" w:lineRule="auto"/>
        <w:ind w:left="180"/>
        <w:shd w:val="clear" w:color="auto" w:fill="F5F7FA"/>
      </w:pPr>
      <w:r>
        <w:rPr>
          <w:i/>
          <w:rFonts w:ascii="Consolas" w:hAnsi="Consolas"/>
          <w:sz w:val="19.0"/>
          <w:szCs w:val="19.0"/>
        </w:rPr>
        <w:t xml:space="preserve">V</w:t>
      </w:r>
      <w:r>
        <w:rPr>
          <w:rFonts w:ascii="Consolas" w:hAnsi="Consolas"/>
          <w:sz w:val="19.0"/>
          <w:szCs w:val="19.0"/>
        </w:rPr>
        <w:t xml:space="preserve">(</w:t>
      </w:r>
      <w:r>
        <w:rPr>
          <w:i/>
          <w:rFonts w:ascii="Consolas" w:hAnsi="Consolas"/>
          <w:sz w:val="19.0"/>
          <w:szCs w:val="19.0"/>
        </w:rPr>
        <w:t xml:space="preserve">x</w:t>
      </w:r>
      <w:r>
        <w:rPr>
          <w:rFonts w:ascii="Consolas" w:hAnsi="Consolas"/>
          <w:sz w:val="19.0"/>
          <w:szCs w:val="19.0"/>
        </w:rPr>
        <w:t xml:space="preserve">) = Σi </w:t>
      </w:r>
      <w:r>
        <w:rPr>
          <w:i/>
          <w:rFonts w:ascii="Consolas" w:hAnsi="Consolas"/>
          <w:sz w:val="19.0"/>
          <w:szCs w:val="19.0"/>
        </w:rPr>
        <w:t xml:space="preserve">x</w:t>
      </w:r>
      <w:r>
        <w:rPr>
          <w:rFonts w:ascii="Consolas" w:hAnsi="Consolas"/>
          <w:sz w:val="19.0"/>
          <w:szCs w:val="19.0"/>
        </w:rPr>
        <w:t xml:space="preserve">i · ELR(</w:t>
      </w:r>
      <w:r>
        <w:rPr>
          <w:i/>
          <w:rFonts w:ascii="Consolas" w:hAnsi="Consolas"/>
          <w:sz w:val="19.0"/>
          <w:szCs w:val="19.0"/>
        </w:rPr>
        <w:t xml:space="preserve">c</w:t>
      </w:r>
      <w:r>
        <w:rPr>
          <w:rFonts w:ascii="Consolas" w:hAnsi="Consolas"/>
          <w:sz w:val="19.0"/>
          <w:szCs w:val="19.0"/>
        </w:rPr>
        <w:t xml:space="preserve">i) + Σ(i,j)∈S </w:t>
      </w:r>
      <w:r>
        <w:rPr>
          <w:i/>
          <w:rFonts w:ascii="Consolas" w:hAnsi="Consolas"/>
          <w:sz w:val="19.0"/>
          <w:szCs w:val="19.0"/>
        </w:rPr>
        <w:t xml:space="preserve">w</w:t>
      </w:r>
      <w:r>
        <w:rPr>
          <w:rFonts w:ascii="Consolas" w:hAnsi="Consolas"/>
          <w:sz w:val="19.0"/>
          <w:szCs w:val="19.0"/>
        </w:rPr>
        <w:t xml:space="preserve">ij · </w:t>
      </w:r>
      <w:r>
        <w:rPr>
          <w:i/>
          <w:rFonts w:ascii="Consolas" w:hAnsi="Consolas"/>
          <w:sz w:val="19.0"/>
          <w:szCs w:val="19.0"/>
        </w:rPr>
        <w:t xml:space="preserve">x</w:t>
      </w:r>
      <w:r>
        <w:rPr>
          <w:rFonts w:ascii="Consolas" w:hAnsi="Consolas"/>
          <w:sz w:val="19.0"/>
          <w:szCs w:val="19.0"/>
        </w:rPr>
        <w:t xml:space="preserve">i · </w:t>
      </w:r>
      <w:r>
        <w:rPr>
          <w:i/>
          <w:rFonts w:ascii="Consolas" w:hAnsi="Consolas"/>
          <w:sz w:val="19.0"/>
          <w:szCs w:val="19.0"/>
        </w:rPr>
        <w:t xml:space="preserve">x</w:t>
      </w:r>
      <w:r>
        <w:rPr>
          <w:rFonts w:ascii="Consolas" w:hAnsi="Consolas"/>
          <w:sz w:val="19.0"/>
          <w:szCs w:val="19.0"/>
        </w:rPr>
        <w:t xml:space="preserve">j · min(</w:t>
      </w:r>
      <w:r>
        <w:rPr>
          <w:i/>
          <w:rFonts w:ascii="Consolas" w:hAnsi="Consolas"/>
          <w:sz w:val="19.0"/>
          <w:szCs w:val="19.0"/>
        </w:rPr>
        <w:t xml:space="preserve">E</w:t>
      </w:r>
      <w:r>
        <w:rPr>
          <w:rFonts w:ascii="Consolas" w:hAnsi="Consolas"/>
          <w:sz w:val="19.0"/>
          <w:szCs w:val="19.0"/>
        </w:rPr>
        <w:t xml:space="preserve">i, </w:t>
      </w:r>
      <w:r>
        <w:rPr>
          <w:i/>
          <w:rFonts w:ascii="Consolas" w:hAnsi="Consolas"/>
          <w:sz w:val="19.0"/>
          <w:szCs w:val="19.0"/>
        </w:rPr>
        <w:t xml:space="preserve">E</w:t>
      </w:r>
      <w:r>
        <w:rPr>
          <w:rFonts w:ascii="Consolas" w:hAnsi="Consolas"/>
          <w:sz w:val="19.0"/>
          <w:szCs w:val="19.0"/>
        </w:rPr>
        <w:t xml:space="preserve">j),  (2)</w:t>
      </w:r>
    </w:p>
    <w:p>
      <w:pPr>
        <w:spacing w:before="0" w:after="120" w:line="276" w:lineRule="auto"/>
      </w:pPr>
    </w:p>
    <w:p>
      <w:pPr>
        <w:spacing w:before="0" w:after="140" w:line="288" w:lineRule="auto"/>
        <w:jc w:val="both"/>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before="160" w:after="80" w:line="276" w:lineRule="auto"/>
        <w:keepNext/>
      </w:pPr>
      <w:r>
        <w:rPr>
          <w:b/>
          <w:sz w:val="23.0"/>
          <w:szCs w:val="23.0"/>
          <w:color w:val="2E2E2E"/>
        </w:rPr>
        <w:t xml:space="preserve">3.2 Layer 1 — Prediction</w:t>
      </w:r>
    </w:p>
    <w:p>
      <w:pPr>
        <w:spacing w:before="0" w:after="140" w:line="288" w:lineRule="auto"/>
        <w:jc w:val="both"/>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before="160" w:after="80" w:line="276" w:lineRule="auto"/>
        <w:keepNext/>
      </w:pPr>
      <w:r>
        <w:rPr>
          <w:b/>
          <w:sz w:val="23.0"/>
          <w:szCs w:val="23.0"/>
          <w:color w:val="2E2E2E"/>
        </w:rPr>
        <w:t xml:space="preserve">3.3 Layer 2 — Knowledge</w:t>
      </w:r>
    </w:p>
    <w:p>
      <w:pPr>
        <w:spacing w:before="0" w:after="140" w:line="288" w:lineRule="auto"/>
        <w:jc w:val="both"/>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before="160" w:after="80" w:line="276" w:lineRule="auto"/>
        <w:keepNext/>
      </w:pPr>
      <w:r>
        <w:rPr>
          <w:b/>
          <w:sz w:val="23.0"/>
          <w:szCs w:val="23.0"/>
          <w:color w:val="2E2E2E"/>
        </w:rPr>
        <w:t xml:space="preserve">3.4 Layer 3 — Quantum-inspired optimization</w:t>
      </w:r>
    </w:p>
    <w:p>
      <w:pPr>
        <w:spacing w:before="0" w:after="140" w:line="288" w:lineRule="auto"/>
        <w:jc w:val="both"/>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before="0" w:after="0" w:line="252" w:lineRule="auto"/>
        <w:ind w:left="180"/>
        <w:shd w:val="clear" w:color="auto" w:fill="F5F7FA"/>
      </w:pPr>
      <w:r>
        <w:rPr>
          <w:b/>
          <w:rFonts w:ascii="Consolas" w:hAnsi="Consolas"/>
          <w:sz w:val="19.0"/>
          <w:szCs w:val="19.0"/>
        </w:rPr>
        <w:t xml:space="preserve">Algorithm 1.</w:t>
      </w:r>
      <w:r>
        <w:rPr>
          <w:rFonts w:ascii="Consolas" w:hAnsi="Consolas"/>
          <w:sz w:val="19.0"/>
          <w:szCs w:val="19.0"/>
        </w:rPr>
        <w:t xml:space="preserve"> Quantum-Inspired Evolutionary Algorithm (QIEA) for synergy-aware control selection.</w:t>
      </w:r>
    </w:p>
    <w:p>
      <w:pPr>
        <w:spacing w:before="0" w:after="0" w:line="252" w:lineRule="auto"/>
        <w:ind w:left="180"/>
        <w:shd w:val="clear" w:color="auto" w:fill="F5F7FA"/>
      </w:pPr>
    </w:p>
    <w:p>
      <w:pPr>
        <w:spacing w:before="0" w:after="0" w:line="252" w:lineRule="auto"/>
        <w:ind w:left="180"/>
        <w:shd w:val="clear" w:color="auto" w:fill="F5F7FA"/>
      </w:pPr>
      <w:r>
        <w:rPr>
          <w:b/>
          <w:rFonts w:ascii="Consolas" w:hAnsi="Consolas"/>
          <w:sz w:val="19.0"/>
          <w:szCs w:val="19.0"/>
        </w:rPr>
        <w:t xml:space="preserve">Input:</w:t>
      </w:r>
      <w:r>
        <w:rPr>
          <w:rFonts w:ascii="Consolas" w:hAnsi="Consolas"/>
          <w:sz w:val="19.0"/>
          <w:szCs w:val="19.0"/>
        </w:rPr>
        <w:t xml:space="preserve"> controls with costs </w:t>
      </w:r>
      <w:r>
        <w:rPr>
          <w:i/>
          <w:rFonts w:ascii="Consolas" w:hAnsi="Consolas"/>
          <w:sz w:val="19.0"/>
          <w:szCs w:val="19.0"/>
        </w:rPr>
        <w:t xml:space="preserve">k</w:t>
      </w:r>
      <w:r>
        <w:rPr>
          <w:rFonts w:ascii="Consolas" w:hAnsi="Consolas"/>
          <w:sz w:val="19.0"/>
          <w:szCs w:val="19.0"/>
        </w:rPr>
        <w:t xml:space="preserve">, exposures </w:t>
      </w:r>
      <w:r>
        <w:rPr>
          <w:i/>
          <w:rFonts w:ascii="Consolas" w:hAnsi="Consolas"/>
          <w:sz w:val="19.0"/>
          <w:szCs w:val="19.0"/>
        </w:rPr>
        <w:t xml:space="preserve">E</w:t>
      </w:r>
      <w:r>
        <w:rPr>
          <w:rFonts w:ascii="Consolas" w:hAnsi="Consolas"/>
          <w:sz w:val="19.0"/>
          <w:szCs w:val="19.0"/>
        </w:rPr>
        <w:t xml:space="preserve">, linear values ELR; budget </w:t>
      </w:r>
      <w:r>
        <w:rPr>
          <w:i/>
          <w:rFonts w:ascii="Consolas" w:hAnsi="Consolas"/>
          <w:sz w:val="19.0"/>
          <w:szCs w:val="19.0"/>
        </w:rPr>
        <w:t xml:space="preserve">B</w:t>
      </w:r>
      <w:r>
        <w:rPr>
          <w:rFonts w:ascii="Consolas" w:hAnsi="Consolas"/>
          <w:sz w:val="19.0"/>
          <w:szCs w:val="19.0"/>
        </w:rPr>
        <w:t xml:space="preserve">; objective </w:t>
      </w:r>
      <w:r>
        <w:rPr>
          <w:i/>
          <w:rFonts w:ascii="Consolas" w:hAnsi="Consolas"/>
          <w:sz w:val="19.0"/>
          <w:szCs w:val="19.0"/>
        </w:rPr>
        <w:t xml:space="preserve">V</w:t>
      </w:r>
      <w:r>
        <w:rPr>
          <w:rFonts w:ascii="Consolas" w:hAnsi="Consolas"/>
          <w:sz w:val="19.0"/>
          <w:szCs w:val="19.0"/>
        </w:rPr>
        <w:t xml:space="preserve">(·); population </w:t>
      </w:r>
      <w:r>
        <w:rPr>
          <w:i/>
          <w:rFonts w:ascii="Consolas" w:hAnsi="Consolas"/>
          <w:sz w:val="19.0"/>
          <w:szCs w:val="19.0"/>
        </w:rPr>
        <w:t xml:space="preserve">P</w:t>
      </w:r>
      <w:r>
        <w:rPr>
          <w:rFonts w:ascii="Consolas" w:hAnsi="Consolas"/>
          <w:sz w:val="19.0"/>
          <w:szCs w:val="19.0"/>
        </w:rPr>
        <w:t xml:space="preserve">; generations </w:t>
      </w:r>
      <w:r>
        <w:rPr>
          <w:i/>
          <w:rFonts w:ascii="Consolas" w:hAnsi="Consolas"/>
          <w:sz w:val="19.0"/>
          <w:szCs w:val="19.0"/>
        </w:rPr>
        <w:t xml:space="preserve">G</w:t>
      </w:r>
      <w:r>
        <w:rPr>
          <w:rFonts w:ascii="Consolas" w:hAnsi="Consolas"/>
          <w:sz w:val="19.0"/>
          <w:szCs w:val="19.0"/>
        </w:rPr>
        <w:t xml:space="preserve">; rotation step Δθ.</w:t>
      </w:r>
    </w:p>
    <w:p>
      <w:pPr>
        <w:spacing w:before="0" w:after="0" w:line="252" w:lineRule="auto"/>
        <w:ind w:left="180"/>
        <w:shd w:val="clear" w:color="auto" w:fill="F5F7FA"/>
      </w:pPr>
      <w:r>
        <w:rPr>
          <w:b/>
          <w:rFonts w:ascii="Consolas" w:hAnsi="Consolas"/>
          <w:sz w:val="19.0"/>
          <w:szCs w:val="19.0"/>
        </w:rPr>
        <w:t xml:space="preserve">Output:</w:t>
      </w:r>
      <w:r>
        <w:rPr>
          <w:rFonts w:ascii="Consolas" w:hAnsi="Consolas"/>
          <w:sz w:val="19.0"/>
          <w:szCs w:val="19.0"/>
        </w:rPr>
        <w:t xml:space="preserve"> best portfolio </w:t>
      </w:r>
      <w:r>
        <w:rPr>
          <w:i/>
          <w:rFonts w:ascii="Consolas" w:hAnsi="Consolas"/>
          <w:sz w:val="19.0"/>
          <w:szCs w:val="19.0"/>
        </w:rPr>
        <w:t xml:space="preserve">x</w:t>
      </w:r>
      <w:r>
        <w:rPr>
          <w:rFonts w:ascii="Consolas" w:hAnsi="Consolas"/>
          <w:sz w:val="19.0"/>
          <w:szCs w:val="19.0"/>
        </w:rPr>
        <w:t xml:space="preserve">\*.</w:t>
      </w:r>
    </w:p>
    <w:p>
      <w:pPr>
        <w:spacing w:before="0" w:after="0" w:line="252" w:lineRule="auto"/>
        <w:ind w:left="180"/>
        <w:shd w:val="clear" w:color="auto" w:fill="F5F7FA"/>
      </w:pPr>
      <w:r>
        <w:rPr>
          <w:rFonts w:ascii="Consolas" w:hAnsi="Consolas"/>
          <w:sz w:val="19.0"/>
          <w:szCs w:val="19.0"/>
        </w:rPr>
        <w:t xml:space="preserve">1. Initialize qubit angles θi ← π/4 for all </w:t>
      </w:r>
      <w:r>
        <w:rPr>
          <w:i/>
          <w:rFonts w:ascii="Consolas" w:hAnsi="Consolas"/>
          <w:sz w:val="19.0"/>
          <w:szCs w:val="19.0"/>
        </w:rPr>
        <w:t xml:space="preserve">i</w:t>
      </w:r>
      <w:r>
        <w:rPr>
          <w:rFonts w:ascii="Consolas" w:hAnsi="Consolas"/>
          <w:sz w:val="19.0"/>
          <w:szCs w:val="19.0"/>
        </w:rPr>
        <w:t xml:space="preserve">; </w:t>
      </w:r>
      <w:r>
        <w:rPr>
          <w:i/>
          <w:rFonts w:ascii="Consolas" w:hAnsi="Consolas"/>
          <w:sz w:val="19.0"/>
          <w:szCs w:val="19.0"/>
        </w:rPr>
        <w:t xml:space="preserve">x</w:t>
      </w:r>
      <w:r>
        <w:rPr>
          <w:rFonts w:ascii="Consolas" w:hAnsi="Consolas"/>
          <w:sz w:val="19.0"/>
          <w:szCs w:val="19.0"/>
        </w:rPr>
        <w:t xml:space="preserve">\</w:t>
      </w:r>
      <w:r>
        <w:rPr>
          <w:i/>
          <w:rFonts w:ascii="Consolas" w:hAnsi="Consolas"/>
          <w:sz w:val="19.0"/>
          <w:szCs w:val="19.0"/>
        </w:rPr>
        <w:t xml:space="preserve"> ← ∅, </w:t>
      </w:r>
      <w:r>
        <w:rPr>
          <w:rFonts w:ascii="Consolas" w:hAnsi="Consolas"/>
          <w:sz w:val="19.0"/>
          <w:szCs w:val="19.0"/>
        </w:rPr>
        <w:t xml:space="preserve">V</w:t>
      </w:r>
      <w:r>
        <w:rPr>
          <w:i/>
          <w:rFonts w:ascii="Consolas" w:hAnsi="Consolas"/>
          <w:sz w:val="19.0"/>
          <w:szCs w:val="19.0"/>
        </w:rPr>
        <w:t xml:space="preserve">\</w:t>
      </w:r>
      <w:r>
        <w:rPr>
          <w:rFonts w:ascii="Consolas" w:hAnsi="Consolas"/>
          <w:sz w:val="19.0"/>
          <w:szCs w:val="19.0"/>
        </w:rPr>
        <w:t xml:space="preserve"> ← 0.</w:t>
      </w:r>
    </w:p>
    <w:p>
      <w:pPr>
        <w:spacing w:before="0" w:after="0" w:line="252" w:lineRule="auto"/>
        <w:ind w:left="180"/>
        <w:shd w:val="clear" w:color="auto" w:fill="F5F7FA"/>
      </w:pPr>
      <w:r>
        <w:rPr>
          <w:rFonts w:ascii="Consolas" w:hAnsi="Consolas"/>
          <w:sz w:val="19.0"/>
          <w:szCs w:val="19.0"/>
        </w:rPr>
        <w:t xml:space="preserve">2. </w:t>
      </w:r>
      <w:r>
        <w:rPr>
          <w:b/>
          <w:rFonts w:ascii="Consolas" w:hAnsi="Consolas"/>
          <w:sz w:val="19.0"/>
          <w:szCs w:val="19.0"/>
        </w:rPr>
        <w:t xml:space="preserve">for</w:t>
      </w:r>
      <w:r>
        <w:rPr>
          <w:rFonts w:ascii="Consolas" w:hAnsi="Consolas"/>
          <w:sz w:val="19.0"/>
          <w:szCs w:val="19.0"/>
        </w:rPr>
        <w:t xml:space="preserve"> </w:t>
      </w:r>
      <w:r>
        <w:rPr>
          <w:i/>
          <w:rFonts w:ascii="Consolas" w:hAnsi="Consolas"/>
          <w:sz w:val="19.0"/>
          <w:szCs w:val="19.0"/>
        </w:rPr>
        <w:t xml:space="preserve">g</w:t>
      </w:r>
      <w:r>
        <w:rPr>
          <w:rFonts w:ascii="Consolas" w:hAnsi="Consolas"/>
          <w:sz w:val="19.0"/>
          <w:szCs w:val="19.0"/>
        </w:rPr>
        <w:t xml:space="preserve"> = 1 … </w:t>
      </w:r>
      <w:r>
        <w:rPr>
          <w:i/>
          <w:rFonts w:ascii="Consolas" w:hAnsi="Consolas"/>
          <w:sz w:val="19.0"/>
          <w:szCs w:val="19.0"/>
        </w:rPr>
        <w:t xml:space="preserve">G</w:t>
      </w:r>
      <w:r>
        <w:rPr>
          <w:rFonts w:ascii="Consolas" w:hAnsi="Consolas"/>
          <w:sz w:val="19.0"/>
          <w:szCs w:val="19.0"/>
        </w:rPr>
        <w:t xml:space="preserve"> </w:t>
      </w:r>
      <w:r>
        <w:rPr>
          <w:b/>
          <w:rFonts w:ascii="Consolas" w:hAnsi="Consolas"/>
          <w:sz w:val="19.0"/>
          <w:szCs w:val="19.0"/>
        </w:rPr>
        <w:t xml:space="preserve">do</w:t>
      </w:r>
    </w:p>
    <w:p>
      <w:pPr>
        <w:spacing w:before="0" w:after="0" w:line="252" w:lineRule="auto"/>
        <w:ind w:left="180"/>
        <w:shd w:val="clear" w:color="auto" w:fill="F5F7FA"/>
      </w:pPr>
      <w:r>
        <w:rPr>
          <w:rFonts w:ascii="Consolas" w:hAnsi="Consolas"/>
          <w:sz w:val="19.0"/>
          <w:szCs w:val="19.0"/>
        </w:rPr>
        <w:t xml:space="preserve">3.   </w:t>
      </w:r>
      <w:r>
        <w:rPr>
          <w:b/>
          <w:rFonts w:ascii="Consolas" w:hAnsi="Consolas"/>
          <w:sz w:val="19.0"/>
          <w:szCs w:val="19.0"/>
        </w:rPr>
        <w:t xml:space="preserve">for</w:t>
      </w:r>
      <w:r>
        <w:rPr>
          <w:rFonts w:ascii="Consolas" w:hAnsi="Consolas"/>
          <w:sz w:val="19.0"/>
          <w:szCs w:val="19.0"/>
        </w:rPr>
        <w:t xml:space="preserve"> </w:t>
      </w:r>
      <w:r>
        <w:rPr>
          <w:i/>
          <w:rFonts w:ascii="Consolas" w:hAnsi="Consolas"/>
          <w:sz w:val="19.0"/>
          <w:szCs w:val="19.0"/>
        </w:rPr>
        <w:t xml:space="preserve">p</w:t>
      </w:r>
      <w:r>
        <w:rPr>
          <w:rFonts w:ascii="Consolas" w:hAnsi="Consolas"/>
          <w:sz w:val="19.0"/>
          <w:szCs w:val="19.0"/>
        </w:rPr>
        <w:t xml:space="preserve"> = 1 … </w:t>
      </w:r>
      <w:r>
        <w:rPr>
          <w:i/>
          <w:rFonts w:ascii="Consolas" w:hAnsi="Consolas"/>
          <w:sz w:val="19.0"/>
          <w:szCs w:val="19.0"/>
        </w:rPr>
        <w:t xml:space="preserve">P</w:t>
      </w:r>
      <w:r>
        <w:rPr>
          <w:rFonts w:ascii="Consolas" w:hAnsi="Consolas"/>
          <w:sz w:val="19.0"/>
          <w:szCs w:val="19.0"/>
        </w:rPr>
        <w:t xml:space="preserve"> </w:t>
      </w:r>
      <w:r>
        <w:rPr>
          <w:b/>
          <w:rFonts w:ascii="Consolas" w:hAnsi="Consolas"/>
          <w:sz w:val="19.0"/>
          <w:szCs w:val="19.0"/>
        </w:rPr>
        <w:t xml:space="preserve">do</w:t>
      </w:r>
    </w:p>
    <w:p>
      <w:pPr>
        <w:spacing w:before="0" w:after="0" w:line="252" w:lineRule="auto"/>
        <w:ind w:left="180"/>
        <w:shd w:val="clear" w:color="auto" w:fill="F5F7FA"/>
      </w:pPr>
      <w:r>
        <w:rPr>
          <w:rFonts w:ascii="Consolas" w:hAnsi="Consolas"/>
          <w:sz w:val="19.0"/>
          <w:szCs w:val="19.0"/>
        </w:rPr>
        <w:t xml:space="preserve">4.     measure: </w:t>
      </w:r>
      <w:r>
        <w:rPr>
          <w:i/>
          <w:rFonts w:ascii="Consolas" w:hAnsi="Consolas"/>
          <w:sz w:val="19.0"/>
          <w:szCs w:val="19.0"/>
        </w:rPr>
        <w:t xml:space="preserve">x</w:t>
      </w:r>
      <w:r>
        <w:rPr>
          <w:rFonts w:ascii="Consolas" w:hAnsi="Consolas"/>
          <w:sz w:val="19.0"/>
          <w:szCs w:val="19.0"/>
        </w:rPr>
        <w:t xml:space="preserve">i ← 1 with prob. sin²θi, else 0, for all </w:t>
      </w:r>
      <w:r>
        <w:rPr>
          <w:i/>
          <w:rFonts w:ascii="Consolas" w:hAnsi="Consolas"/>
          <w:sz w:val="19.0"/>
          <w:szCs w:val="19.0"/>
        </w:rPr>
        <w:t xml:space="preserve">i</w:t>
      </w:r>
      <w:r>
        <w:rPr>
          <w:rFonts w:ascii="Consolas" w:hAnsi="Consolas"/>
          <w:sz w:val="19.0"/>
          <w:szCs w:val="19.0"/>
        </w:rPr>
        <w:t xml:space="preserve">.</w:t>
      </w:r>
    </w:p>
    <w:p>
      <w:pPr>
        <w:spacing w:before="0" w:after="0" w:line="252" w:lineRule="auto"/>
        <w:ind w:left="180"/>
        <w:shd w:val="clear" w:color="auto" w:fill="F5F7FA"/>
      </w:pPr>
      <w:r>
        <w:rPr>
          <w:rFonts w:ascii="Consolas" w:hAnsi="Consolas"/>
          <w:sz w:val="19.0"/>
          <w:szCs w:val="19.0"/>
        </w:rPr>
        <w:t xml:space="preserve">5.     </w:t>
      </w:r>
      <w:r>
        <w:rPr>
          <w:i/>
          <w:rFonts w:ascii="Consolas" w:hAnsi="Consolas"/>
          <w:sz w:val="19.0"/>
          <w:szCs w:val="19.0"/>
        </w:rPr>
        <w:t xml:space="preserve">x</w:t>
      </w:r>
      <w:r>
        <w:rPr>
          <w:rFonts w:ascii="Consolas" w:hAnsi="Consolas"/>
          <w:sz w:val="19.0"/>
          <w:szCs w:val="19.0"/>
        </w:rPr>
        <w:t xml:space="preserve"> ← Repair(</w:t>
      </w:r>
      <w:r>
        <w:rPr>
          <w:i/>
          <w:rFonts w:ascii="Consolas" w:hAnsi="Consolas"/>
          <w:sz w:val="19.0"/>
          <w:szCs w:val="19.0"/>
        </w:rPr>
        <w:t xml:space="preserve">x</w:t>
      </w:r>
      <w:r>
        <w:rPr>
          <w:rFonts w:ascii="Consolas" w:hAnsi="Consolas"/>
          <w:sz w:val="19.0"/>
          <w:szCs w:val="19.0"/>
        </w:rPr>
        <w:t xml:space="preserve">, </w:t>
      </w:r>
      <w:r>
        <w:rPr>
          <w:i/>
          <w:rFonts w:ascii="Consolas" w:hAnsi="Consolas"/>
          <w:sz w:val="19.0"/>
          <w:szCs w:val="19.0"/>
        </w:rPr>
        <w:t xml:space="preserve">B</w:t>
      </w:r>
      <w:r>
        <w:rPr>
          <w:rFonts w:ascii="Consolas" w:hAnsi="Consolas"/>
          <w:sz w:val="19.0"/>
          <w:szCs w:val="19.0"/>
        </w:rPr>
        <w:t xml:space="preserve">)  ▷ drop lowest ELR/cost items until Σ</w:t>
      </w:r>
      <w:r>
        <w:rPr>
          <w:i/>
          <w:rFonts w:ascii="Consolas" w:hAnsi="Consolas"/>
          <w:sz w:val="19.0"/>
          <w:szCs w:val="19.0"/>
        </w:rPr>
        <w:t xml:space="preserve">k</w:t>
      </w:r>
      <w:r>
        <w:rPr>
          <w:rFonts w:ascii="Consolas" w:hAnsi="Consolas"/>
          <w:sz w:val="19.0"/>
          <w:szCs w:val="19.0"/>
        </w:rPr>
        <w:t xml:space="preserve">i</w:t>
      </w:r>
      <w:r>
        <w:rPr>
          <w:i/>
          <w:rFonts w:ascii="Consolas" w:hAnsi="Consolas"/>
          <w:sz w:val="19.0"/>
          <w:szCs w:val="19.0"/>
        </w:rPr>
        <w:t xml:space="preserve">x</w:t>
      </w:r>
      <w:r>
        <w:rPr>
          <w:rFonts w:ascii="Consolas" w:hAnsi="Consolas"/>
          <w:sz w:val="19.0"/>
          <w:szCs w:val="19.0"/>
        </w:rPr>
        <w:t xml:space="preserve">i ≤ </w:t>
      </w:r>
      <w:r>
        <w:rPr>
          <w:i/>
          <w:rFonts w:ascii="Consolas" w:hAnsi="Consolas"/>
          <w:sz w:val="19.0"/>
          <w:szCs w:val="19.0"/>
        </w:rPr>
        <w:t xml:space="preserve">B</w:t>
      </w:r>
      <w:r>
        <w:rPr>
          <w:rFonts w:ascii="Consolas" w:hAnsi="Consolas"/>
          <w:sz w:val="19.0"/>
          <w:szCs w:val="19.0"/>
        </w:rPr>
        <w:t xml:space="preserve">.</w:t>
      </w:r>
    </w:p>
    <w:p>
      <w:pPr>
        <w:spacing w:before="0" w:after="0" w:line="252" w:lineRule="auto"/>
        <w:ind w:left="180"/>
        <w:shd w:val="clear" w:color="auto" w:fill="F5F7FA"/>
      </w:pPr>
      <w:r>
        <w:rPr>
          <w:rFonts w:ascii="Consolas" w:hAnsi="Consolas"/>
          <w:sz w:val="19.0"/>
          <w:szCs w:val="19.0"/>
        </w:rPr>
        <w:t xml:space="preserve">6.     </w:t>
      </w:r>
      <w:r>
        <w:rPr>
          <w:b/>
          <w:rFonts w:ascii="Consolas" w:hAnsi="Consolas"/>
          <w:sz w:val="19.0"/>
          <w:szCs w:val="19.0"/>
        </w:rPr>
        <w:t xml:space="preserve">if</w:t>
      </w:r>
      <w:r>
        <w:rPr>
          <w:rFonts w:ascii="Consolas" w:hAnsi="Consolas"/>
          <w:sz w:val="19.0"/>
          <w:szCs w:val="19.0"/>
        </w:rPr>
        <w:t xml:space="preserve"> </w:t>
      </w:r>
      <w:r>
        <w:rPr>
          <w:i/>
          <w:rFonts w:ascii="Consolas" w:hAnsi="Consolas"/>
          <w:sz w:val="19.0"/>
          <w:szCs w:val="19.0"/>
        </w:rPr>
        <w:t xml:space="preserve">V</w:t>
      </w:r>
      <w:r>
        <w:rPr>
          <w:rFonts w:ascii="Consolas" w:hAnsi="Consolas"/>
          <w:sz w:val="19.0"/>
          <w:szCs w:val="19.0"/>
        </w:rPr>
        <w:t xml:space="preserve">(</w:t>
      </w:r>
      <w:r>
        <w:rPr>
          <w:i/>
          <w:rFonts w:ascii="Consolas" w:hAnsi="Consolas"/>
          <w:sz w:val="19.0"/>
          <w:szCs w:val="19.0"/>
        </w:rPr>
        <w:t xml:space="preserve">x</w:t>
      </w:r>
      <w:r>
        <w:rPr>
          <w:rFonts w:ascii="Consolas" w:hAnsi="Consolas"/>
          <w:sz w:val="19.0"/>
          <w:szCs w:val="19.0"/>
        </w:rPr>
        <w:t xml:space="preserve">) &gt; </w:t>
      </w:r>
      <w:r>
        <w:rPr>
          <w:i/>
          <w:rFonts w:ascii="Consolas" w:hAnsi="Consolas"/>
          <w:sz w:val="19.0"/>
          <w:szCs w:val="19.0"/>
        </w:rPr>
        <w:t xml:space="preserve">V</w:t>
      </w:r>
      <w:r>
        <w:rPr>
          <w:rFonts w:ascii="Consolas" w:hAnsi="Consolas"/>
          <w:sz w:val="19.0"/>
          <w:szCs w:val="19.0"/>
        </w:rPr>
        <w:t xml:space="preserve">\</w:t>
      </w:r>
      <w:r>
        <w:rPr>
          <w:i/>
          <w:rFonts w:ascii="Consolas" w:hAnsi="Consolas"/>
          <w:sz w:val="19.0"/>
          <w:szCs w:val="19.0"/>
        </w:rPr>
        <w:t xml:space="preserve"> </w:t>
      </w:r>
      <w:r>
        <w:rPr>
          <w:i/>
          <w:rFonts w:ascii="Consolas" w:hAnsi="Consolas"/>
          <w:sz w:val="19.0"/>
          <w:szCs w:val="19.0"/>
        </w:rPr>
        <w:t xml:space="preserve">then</w:t>
      </w:r>
      <w:r>
        <w:rPr>
          <w:i/>
          <w:rFonts w:ascii="Consolas" w:hAnsi="Consolas"/>
          <w:sz w:val="19.0"/>
          <w:szCs w:val="19.0"/>
        </w:rPr>
        <w:t xml:space="preserve"> </w:t>
      </w:r>
      <w:r>
        <w:rPr>
          <w:rFonts w:ascii="Consolas" w:hAnsi="Consolas"/>
          <w:sz w:val="19.0"/>
          <w:szCs w:val="19.0"/>
        </w:rPr>
        <w:t xml:space="preserve">x</w:t>
      </w:r>
      <w:r>
        <w:rPr>
          <w:i/>
          <w:rFonts w:ascii="Consolas" w:hAnsi="Consolas"/>
          <w:sz w:val="19.0"/>
          <w:szCs w:val="19.0"/>
        </w:rPr>
        <w:t xml:space="preserve">\</w:t>
      </w:r>
      <w:r>
        <w:rPr>
          <w:rFonts w:ascii="Consolas" w:hAnsi="Consolas"/>
          <w:sz w:val="19.0"/>
          <w:szCs w:val="19.0"/>
        </w:rPr>
        <w:t xml:space="preserve"> ← </w:t>
      </w:r>
      <w:r>
        <w:rPr>
          <w:i/>
          <w:rFonts w:ascii="Consolas" w:hAnsi="Consolas"/>
          <w:sz w:val="19.0"/>
          <w:szCs w:val="19.0"/>
        </w:rPr>
        <w:t xml:space="preserve">x</w:t>
      </w:r>
      <w:r>
        <w:rPr>
          <w:rFonts w:ascii="Consolas" w:hAnsi="Consolas"/>
          <w:sz w:val="19.0"/>
          <w:szCs w:val="19.0"/>
        </w:rPr>
        <w:t xml:space="preserve">, </w:t>
      </w:r>
      <w:r>
        <w:rPr>
          <w:i/>
          <w:rFonts w:ascii="Consolas" w:hAnsi="Consolas"/>
          <w:sz w:val="19.0"/>
          <w:szCs w:val="19.0"/>
        </w:rPr>
        <w:t xml:space="preserve">V</w:t>
      </w:r>
      <w:r>
        <w:rPr>
          <w:rFonts w:ascii="Consolas" w:hAnsi="Consolas"/>
          <w:sz w:val="19.0"/>
          <w:szCs w:val="19.0"/>
        </w:rPr>
        <w:t xml:space="preserve">\</w:t>
      </w:r>
      <w:r>
        <w:rPr>
          <w:i/>
          <w:rFonts w:ascii="Consolas" w:hAnsi="Consolas"/>
          <w:sz w:val="19.0"/>
          <w:szCs w:val="19.0"/>
        </w:rPr>
        <w:t xml:space="preserve"> ← </w:t>
      </w:r>
      <w:r>
        <w:rPr>
          <w:rFonts w:ascii="Consolas" w:hAnsi="Consolas"/>
          <w:sz w:val="19.0"/>
          <w:szCs w:val="19.0"/>
        </w:rPr>
        <w:t xml:space="preserve">V</w:t>
      </w:r>
      <w:r>
        <w:rPr>
          <w:i/>
          <w:rFonts w:ascii="Consolas" w:hAnsi="Consolas"/>
          <w:sz w:val="19.0"/>
          <w:szCs w:val="19.0"/>
        </w:rPr>
        <w:t xml:space="preserve">(</w:t>
      </w:r>
      <w:r>
        <w:rPr>
          <w:rFonts w:ascii="Consolas" w:hAnsi="Consolas"/>
          <w:sz w:val="19.0"/>
          <w:szCs w:val="19.0"/>
        </w:rPr>
        <w:t xml:space="preserve">x*).</w:t>
      </w:r>
    </w:p>
    <w:p>
      <w:pPr>
        <w:spacing w:before="0" w:after="0" w:line="252" w:lineRule="auto"/>
        <w:ind w:left="180"/>
        <w:shd w:val="clear" w:color="auto" w:fill="F5F7FA"/>
      </w:pPr>
      <w:r>
        <w:rPr>
          <w:rFonts w:ascii="Consolas" w:hAnsi="Consolas"/>
          <w:sz w:val="19.0"/>
          <w:szCs w:val="19.0"/>
        </w:rPr>
        <w:t xml:space="preserve">7.   </w:t>
      </w:r>
      <w:r>
        <w:rPr>
          <w:b/>
          <w:rFonts w:ascii="Consolas" w:hAnsi="Consolas"/>
          <w:sz w:val="19.0"/>
          <w:szCs w:val="19.0"/>
        </w:rPr>
        <w:t xml:space="preserve">for</w:t>
      </w:r>
      <w:r>
        <w:rPr>
          <w:rFonts w:ascii="Consolas" w:hAnsi="Consolas"/>
          <w:sz w:val="19.0"/>
          <w:szCs w:val="19.0"/>
        </w:rPr>
        <w:t xml:space="preserve"> each bit </w:t>
      </w:r>
      <w:r>
        <w:rPr>
          <w:i/>
          <w:rFonts w:ascii="Consolas" w:hAnsi="Consolas"/>
          <w:sz w:val="19.0"/>
          <w:szCs w:val="19.0"/>
        </w:rPr>
        <w:t xml:space="preserve">i</w:t>
      </w:r>
      <w:r>
        <w:rPr>
          <w:rFonts w:ascii="Consolas" w:hAnsi="Consolas"/>
          <w:sz w:val="19.0"/>
          <w:szCs w:val="19.0"/>
        </w:rPr>
        <w:t xml:space="preserve"> </w:t>
      </w:r>
      <w:r>
        <w:rPr>
          <w:b/>
          <w:rFonts w:ascii="Consolas" w:hAnsi="Consolas"/>
          <w:sz w:val="19.0"/>
          <w:szCs w:val="19.0"/>
        </w:rPr>
        <w:t xml:space="preserve">do</w:t>
      </w:r>
      <w:r>
        <w:rPr>
          <w:rFonts w:ascii="Consolas" w:hAnsi="Consolas"/>
          <w:sz w:val="19.0"/>
          <w:szCs w:val="19.0"/>
        </w:rPr>
        <w:t xml:space="preserve">  ▷ rotation-gate update toward incumbent.</w:t>
      </w:r>
    </w:p>
    <w:p>
      <w:pPr>
        <w:spacing w:before="0" w:after="0" w:line="252" w:lineRule="auto"/>
        <w:ind w:left="180"/>
        <w:shd w:val="clear" w:color="auto" w:fill="F5F7FA"/>
      </w:pPr>
      <w:r>
        <w:rPr>
          <w:rFonts w:ascii="Consolas" w:hAnsi="Consolas"/>
          <w:sz w:val="19.0"/>
          <w:szCs w:val="19.0"/>
        </w:rPr>
        <w:t xml:space="preserve">8.     </w:t>
      </w:r>
      <w:r>
        <w:rPr>
          <w:b/>
          <w:rFonts w:ascii="Consolas" w:hAnsi="Consolas"/>
          <w:sz w:val="19.0"/>
          <w:szCs w:val="19.0"/>
        </w:rPr>
        <w:t xml:space="preserve">if</w:t>
      </w:r>
      <w:r>
        <w:rPr>
          <w:rFonts w:ascii="Consolas" w:hAnsi="Consolas"/>
          <w:sz w:val="19.0"/>
          <w:szCs w:val="19.0"/>
        </w:rPr>
        <w:t xml:space="preserve"> </w:t>
      </w:r>
      <w:r>
        <w:rPr>
          <w:i/>
          <w:rFonts w:ascii="Consolas" w:hAnsi="Consolas"/>
          <w:sz w:val="19.0"/>
          <w:szCs w:val="19.0"/>
        </w:rPr>
        <w:t xml:space="preserve">x</w:t>
      </w:r>
      <w:r>
        <w:rPr>
          <w:rFonts w:ascii="Consolas" w:hAnsi="Consolas"/>
          <w:sz w:val="19.0"/>
          <w:szCs w:val="19.0"/>
        </w:rPr>
        <w:t xml:space="preserve">\</w:t>
      </w:r>
      <w:r>
        <w:rPr>
          <w:i/>
          <w:rFonts w:ascii="Consolas" w:hAnsi="Consolas"/>
          <w:sz w:val="19.0"/>
          <w:szCs w:val="19.0"/>
        </w:rPr>
        <w:t xml:space="preserve">i = 1 </w:t>
      </w:r>
      <w:r>
        <w:rPr>
          <w:i/>
          <w:rFonts w:ascii="Consolas" w:hAnsi="Consolas"/>
          <w:sz w:val="19.0"/>
          <w:szCs w:val="19.0"/>
        </w:rPr>
        <w:t xml:space="preserve">then</w:t>
      </w:r>
      <w:r>
        <w:rPr>
          <w:i/>
          <w:rFonts w:ascii="Consolas" w:hAnsi="Consolas"/>
          <w:sz w:val="19.0"/>
          <w:szCs w:val="19.0"/>
        </w:rPr>
        <w:t xml:space="preserve"> θi ← min(π/2, θi + Δθ) </w:t>
      </w:r>
      <w:r>
        <w:rPr>
          <w:i/>
          <w:rFonts w:ascii="Consolas" w:hAnsi="Consolas"/>
          <w:sz w:val="19.0"/>
          <w:szCs w:val="19.0"/>
        </w:rPr>
        <w:t xml:space="preserve">else</w:t>
      </w:r>
      <w:r>
        <w:rPr>
          <w:rFonts w:ascii="Consolas" w:hAnsi="Consolas"/>
          <w:sz w:val="19.0"/>
          <w:szCs w:val="19.0"/>
        </w:rPr>
        <w:t xml:space="preserve">* θi ← max(0, θi − Δθ).</w:t>
      </w:r>
    </w:p>
    <w:p>
      <w:pPr>
        <w:spacing w:before="0" w:after="0" w:line="252" w:lineRule="auto"/>
        <w:ind w:left="180"/>
        <w:shd w:val="clear" w:color="auto" w:fill="F5F7FA"/>
      </w:pPr>
      <w:r>
        <w:rPr>
          <w:rFonts w:ascii="Consolas" w:hAnsi="Consolas"/>
          <w:sz w:val="19.0"/>
          <w:szCs w:val="19.0"/>
        </w:rPr>
        <w:t xml:space="preserve">9. </w:t>
      </w:r>
      <w:r>
        <w:rPr>
          <w:i/>
          <w:rFonts w:ascii="Consolas" w:hAnsi="Consolas"/>
          <w:sz w:val="19.0"/>
          <w:szCs w:val="19.0"/>
        </w:rPr>
        <w:t xml:space="preserve">x</w:t>
      </w:r>
      <w:r>
        <w:rPr>
          <w:rFonts w:ascii="Consolas" w:hAnsi="Consolas"/>
          <w:sz w:val="19.0"/>
          <w:szCs w:val="19.0"/>
        </w:rPr>
        <w:t xml:space="preserve">\</w:t>
      </w:r>
      <w:r>
        <w:rPr>
          <w:i/>
          <w:rFonts w:ascii="Consolas" w:hAnsi="Consolas"/>
          <w:sz w:val="19.0"/>
          <w:szCs w:val="19.0"/>
        </w:rPr>
        <w:t xml:space="preserve"> ← LocalSearch(</w:t>
      </w:r>
      <w:r>
        <w:rPr>
          <w:rFonts w:ascii="Consolas" w:hAnsi="Consolas"/>
          <w:sz w:val="19.0"/>
          <w:szCs w:val="19.0"/>
        </w:rPr>
        <w:t xml:space="preserve">x</w:t>
      </w:r>
      <w:r>
        <w:rPr>
          <w:i/>
          <w:rFonts w:ascii="Consolas" w:hAnsi="Consolas"/>
          <w:sz w:val="19.0"/>
          <w:szCs w:val="19.0"/>
        </w:rPr>
        <w:t xml:space="preserve">\</w:t>
      </w:r>
      <w:r>
        <w:rPr>
          <w:rFonts w:ascii="Consolas" w:hAnsi="Consolas"/>
          <w:sz w:val="19.0"/>
          <w:szCs w:val="19.0"/>
        </w:rPr>
        <w:t xml:space="preserve">, </w:t>
      </w:r>
      <w:r>
        <w:rPr>
          <w:i/>
          <w:rFonts w:ascii="Consolas" w:hAnsi="Consolas"/>
          <w:sz w:val="19.0"/>
          <w:szCs w:val="19.0"/>
        </w:rPr>
        <w:t xml:space="preserve">B</w:t>
      </w:r>
      <w:r>
        <w:rPr>
          <w:rFonts w:ascii="Consolas" w:hAnsi="Consolas"/>
          <w:sz w:val="19.0"/>
          <w:szCs w:val="19.0"/>
        </w:rPr>
        <w:t xml:space="preserve">)  ▷ 1-flip / swap hill-climbing on </w:t>
      </w:r>
      <w:r>
        <w:rPr>
          <w:i/>
          <w:rFonts w:ascii="Consolas" w:hAnsi="Consolas"/>
          <w:sz w:val="19.0"/>
          <w:szCs w:val="19.0"/>
        </w:rPr>
        <w:t xml:space="preserve">V</w:t>
      </w:r>
      <w:r>
        <w:rPr>
          <w:rFonts w:ascii="Consolas" w:hAnsi="Consolas"/>
          <w:sz w:val="19.0"/>
          <w:szCs w:val="19.0"/>
        </w:rPr>
        <w:t xml:space="preserve">.</w:t>
      </w:r>
    </w:p>
    <w:p>
      <w:pPr>
        <w:spacing w:before="0" w:after="0" w:line="252" w:lineRule="auto"/>
        <w:ind w:left="180"/>
        <w:shd w:val="clear" w:color="auto" w:fill="F5F7FA"/>
      </w:pPr>
      <w:r>
        <w:rPr>
          <w:rFonts w:ascii="Consolas" w:hAnsi="Consolas"/>
          <w:sz w:val="19.0"/>
          <w:szCs w:val="19.0"/>
        </w:rPr>
        <w:t xml:space="preserve">10. </w:t>
      </w:r>
      <w:r>
        <w:rPr>
          <w:b/>
          <w:rFonts w:ascii="Consolas" w:hAnsi="Consolas"/>
          <w:sz w:val="19.0"/>
          <w:szCs w:val="19.0"/>
        </w:rPr>
        <w:t xml:space="preserve">return</w:t>
      </w:r>
      <w:r>
        <w:rPr>
          <w:rFonts w:ascii="Consolas" w:hAnsi="Consolas"/>
          <w:sz w:val="19.0"/>
          <w:szCs w:val="19.0"/>
        </w:rPr>
        <w:t xml:space="preserve"> </w:t>
      </w:r>
      <w:r>
        <w:rPr>
          <w:i/>
          <w:rFonts w:ascii="Consolas" w:hAnsi="Consolas"/>
          <w:sz w:val="19.0"/>
          <w:szCs w:val="19.0"/>
        </w:rPr>
        <w:t xml:space="preserve">x</w:t>
      </w:r>
      <w:r>
        <w:rPr>
          <w:rFonts w:ascii="Consolas" w:hAnsi="Consolas"/>
          <w:sz w:val="19.0"/>
          <w:szCs w:val="19.0"/>
        </w:rPr>
        <w:t xml:space="preserve">\*.</w:t>
      </w:r>
    </w:p>
    <w:p>
      <w:pPr>
        <w:spacing w:before="0" w:after="120" w:line="276" w:lineRule="auto"/>
      </w:pPr>
    </w:p>
    <w:p>
      <w:pPr>
        <w:spacing w:before="160" w:after="80" w:line="276" w:lineRule="auto"/>
        <w:keepNext/>
      </w:pPr>
      <w:r>
        <w:rPr>
          <w:b/>
          <w:sz w:val="23.0"/>
          <w:szCs w:val="23.0"/>
          <w:color w:val="2E2E2E"/>
        </w:rPr>
        <w:t xml:space="preserve">3.5 Positioning and complexity</w:t>
      </w:r>
    </w:p>
    <w:p>
      <w:pPr>
        <w:spacing w:before="0" w:after="140" w:line="288" w:lineRule="auto"/>
        <w:jc w:val="both"/>
      </w:pPr>
      <w:r>
        <w:rPr>
          <w:sz w:val="22"/>
          <w:szCs w:val="22"/>
        </w:rPr>
        <w:t xml:space="preserve">The quadratic objective in Eq. (2) is an instance of the quadratic knapsack problem, which is NP-hard; exact solution is intractable for realistic portfolio sizes, motivating the metaheuristic route taken by the broader portfolio-optimization literature [21]. Our choice of a quantum-inspired evolutionary algorithm is deliberate: quantum-inspired metaheuristics retain a compact probabilistic (qubit) state that balances exploration and exploitation without the overhead of maintaining an explicit population of full solutions, and have repeatedly outperformed classical evolutionary algorithms on combinatorial benchmarks [6,14,19,20]. The objective can equivalently be expressed as a quadratic unconstrained binary optimization (QUBO) model after a penalty reformulation of the budget constraint [22], which makes the framework portable to quantum-annealing and gate-based hardware in future work while remaining fully classical here. Each QIEA generation costs </w:t>
      </w:r>
      <w:r>
        <w:rPr>
          <w:i/>
          <w:sz w:val="22"/>
          <w:szCs w:val="22"/>
        </w:rPr>
        <w:t xml:space="preserve">O</w:t>
      </w:r>
      <w:r>
        <w:rPr>
          <w:sz w:val="22"/>
          <w:szCs w:val="22"/>
        </w:rPr>
        <w:t xml:space="preserve">(</w:t>
      </w:r>
      <w:r>
        <w:rPr>
          <w:i/>
          <w:sz w:val="22"/>
          <w:szCs w:val="22"/>
        </w:rPr>
        <w:t xml:space="preserve">P</w:t>
      </w:r>
      <w:r>
        <w:rPr>
          <w:sz w:val="22"/>
          <w:szCs w:val="22"/>
        </w:rPr>
        <w:t xml:space="preserve">·(</w:t>
      </w:r>
      <w:r>
        <w:rPr>
          <w:i/>
          <w:sz w:val="22"/>
          <w:szCs w:val="22"/>
        </w:rPr>
        <w:t xml:space="preserve">n</w:t>
      </w:r>
      <w:r>
        <w:rPr>
          <w:sz w:val="22"/>
          <w:szCs w:val="22"/>
        </w:rPr>
        <w:t xml:space="preserve"> + |</w:t>
      </w:r>
      <w:r>
        <w:rPr>
          <w:i/>
          <w:sz w:val="22"/>
          <w:szCs w:val="22"/>
        </w:rPr>
        <w:t xml:space="preserve">S</w:t>
      </w:r>
      <w:r>
        <w:rPr>
          <w:sz w:val="22"/>
          <w:szCs w:val="22"/>
        </w:rPr>
        <w:t xml:space="preserve">|)) time — linear in the number of controls </w:t>
      </w:r>
      <w:r>
        <w:rPr>
          <w:i/>
          <w:sz w:val="22"/>
          <w:szCs w:val="22"/>
        </w:rPr>
        <w:t xml:space="preserve">n</w:t>
      </w:r>
      <w:r>
        <w:rPr>
          <w:sz w:val="22"/>
          <w:szCs w:val="22"/>
        </w:rPr>
        <w:t xml:space="preserve"> and synergy pairs |</w:t>
      </w:r>
      <w:r>
        <w:rPr>
          <w:i/>
          <w:sz w:val="22"/>
          <w:szCs w:val="22"/>
        </w:rPr>
        <w:t xml:space="preserve">S</w:t>
      </w:r>
      <w:r>
        <w:rPr>
          <w:sz w:val="22"/>
          <w:szCs w:val="22"/>
        </w:rPr>
        <w:t xml:space="preserve">| — so the method scales gracefully; the full 20-seed study completes in roughly twenty seconds on a commodity CPU.</w:t>
      </w:r>
    </w:p>
    <w:p>
      <w:pPr>
        <w:spacing w:before="240" w:after="100" w:line="276" w:lineRule="auto"/>
        <w:keepNext/>
      </w:pPr>
      <w:r>
        <w:rPr>
          <w:b/>
          <w:sz w:val="27.0"/>
          <w:szCs w:val="27.0"/>
          <w:color w:val="1F4E79"/>
        </w:rPr>
        <w:t xml:space="preserve">4. Experiments</w:t>
      </w:r>
    </w:p>
    <w:p>
      <w:pPr>
        <w:spacing w:before="160" w:after="80" w:line="276" w:lineRule="auto"/>
        <w:keepNext/>
      </w:pPr>
      <w:r>
        <w:rPr>
          <w:b/>
          <w:sz w:val="23.0"/>
          <w:szCs w:val="23.0"/>
          <w:color w:val="2E2E2E"/>
        </w:rPr>
        <w:t xml:space="preserve">4.1 Setup</w:t>
      </w:r>
    </w:p>
    <w:p>
      <w:pPr>
        <w:spacing w:before="0" w:after="140" w:line="288" w:lineRule="auto"/>
        <w:jc w:val="both"/>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four baselines: (i) random search (3200 budget-feasible samples per run); (ii) value-density greedy selection; (iii) a classical genetic algorithm (GA) with population 24, 140 generations, elitist selection (top 20%), single-point crossover, and 3% bit-flip mutation; and (iv) an exact dynamic-programming optimizer of the </w:t>
      </w:r>
      <w:r>
        <w:rPr>
          <w:i/>
          <w:sz w:val="22"/>
          <w:szCs w:val="22"/>
        </w:rPr>
        <w:t xml:space="preserve">linear</w:t>
      </w:r>
      <w:r>
        <w:rPr>
          <w:sz w:val="22"/>
          <w:szCs w:val="22"/>
        </w:rPr>
        <w:t xml:space="preserve"> surrogate (synergy-blind). For a controlled comparison the GA and the QIEA use the same population size (24) and generation budget (140); the QIEA additionally uses a rotation step Δθ = 0.035 rad. All optimizers maximize the identical quadratic objective of Eq. (2) and all results are means over twenty independent seeds. Figures are generated directly from the experiment.</w:t>
      </w:r>
    </w:p>
    <w:p>
      <w:pPr>
        <w:spacing w:before="160" w:after="80" w:line="276" w:lineRule="auto"/>
        <w:keepNext/>
      </w:pPr>
      <w:r>
        <w:rPr>
          <w:b/>
          <w:sz w:val="23.0"/>
          <w:szCs w:val="23.0"/>
          <w:color w:val="2E2E2E"/>
        </w:rPr>
        <w:t xml:space="preserve">4.2 Results</w:t>
      </w:r>
    </w:p>
    <w:p>
      <w:pPr>
        <w:spacing w:before="0" w:after="140" w:line="288" w:lineRule="auto"/>
        <w:jc w:val="both"/>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Although the QIEA and the GA share the same population and generation budget, the QIEA's edge (0.06% versus 0.54% gap) arises from its probabilistic qubit representation: rather than recombining fixed bit-strings, it maintains a per-control probability amplitude that the rotation gate steers toward promising regions, which — combined with the final local-search refinement — yields more reliable exploitation of the sparse synergy pairs. As shown in Fig. 1, the QIEA converges rapidly and stabilizes above the classical GA trajectory and both synergy-blind reference lines within roughly 60 generations.</w:t>
      </w:r>
    </w:p>
    <w:p>
      <w:pPr>
        <w:spacing w:before="0" w:after="140" w:line="288" w:lineRule="auto"/>
        <w:jc w:val="both"/>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W w:w="9360" w:type="dxa"/>
        <w:jc w:val="center"/>
        <w:tblBorders>
          <w:top w:val="single" w:sz="12" w:space="0" w:color="1F4E79"/>
          <w:bottom w:val="single" w:sz="12" w:space="0" w:color="1F4E79"/>
          <w:insideH w:val="single" w:sz="2" w:space="0" w:color="BFBFBF"/>
        </w:tblBorders>
        <w:tblCellMar>
          <w:top w:w="40" w:type="dxa"/>
          <w:bottom w:w="40" w:type="dxa"/>
          <w:left w:w="80" w:type="dxa"/>
          <w:right w:w="80" w:type="dxa"/>
        </w:tblCellMar>
      </w:tblPr>
      <w:tblGrid>
        <w:gridCol w:w="1170"/>
        <w:gridCol w:w="1170"/>
        <w:gridCol w:w="1170"/>
        <w:gridCol w:w="1170"/>
        <w:gridCol w:w="1170"/>
        <w:gridCol w:w="1170"/>
        <w:gridCol w:w="1170"/>
        <w:gridCol w:w="1170"/>
      </w:tblGrid>
      <w:tr>
        <w:tc>
          <w:tcPr>
            <w:tcW w:w="1170" w:type="dxa"/>
            <w:shd w:val="clear" w:color="auto" w:fill="1F4E79"/>
            <w:vAlign w:val="center"/>
          </w:tcPr>
          <w:p>
            <w:pPr>
              <w:spacing w:before="20" w:after="20" w:line="240" w:lineRule="auto"/>
              <w:jc w:val="left"/>
            </w:pPr>
            <w:r>
              <w:rPr>
                <w:sz w:val="17"/>
                <w:szCs w:val="17"/>
                <w:rFonts w:ascii="Cambria" w:hAnsi="Cambria"/>
                <w:b/>
                <w:color w:val="FFFFFF"/>
              </w:rPr>
              <w:t xml:space="preserve">Method</w:t>
            </w:r>
          </w:p>
        </w:tc>
        <w:tc>
          <w:tcPr>
            <w:tcW w:w="1170" w:type="dxa"/>
            <w:shd w:val="clear" w:color="auto" w:fill="1F4E79"/>
            <w:vAlign w:val="center"/>
          </w:tcPr>
          <w:p>
            <w:pPr>
              <w:spacing w:before="20" w:after="20" w:line="240" w:lineRule="auto"/>
              <w:jc w:val="center"/>
            </w:pPr>
            <w:r>
              <w:rPr>
                <w:sz w:val="17"/>
                <w:szCs w:val="17"/>
                <w:rFonts w:ascii="Cambria" w:hAnsi="Cambria"/>
                <w:b/>
                <w:color w:val="FFFFFF"/>
              </w:rPr>
              <w:t xml:space="preserve">Controls funded</w:t>
            </w:r>
          </w:p>
        </w:tc>
        <w:tc>
          <w:tcPr>
            <w:tcW w:w="1170" w:type="dxa"/>
            <w:shd w:val="clear" w:color="auto" w:fill="1F4E79"/>
            <w:vAlign w:val="center"/>
          </w:tcPr>
          <w:p>
            <w:pPr>
              <w:spacing w:before="20" w:after="20" w:line="240" w:lineRule="auto"/>
              <w:jc w:val="center"/>
            </w:pPr>
            <w:r>
              <w:rPr>
                <w:sz w:val="17"/>
                <w:szCs w:val="17"/>
                <w:rFonts w:ascii="Cambria" w:hAnsi="Cambria"/>
                <w:b/>
                <w:color w:val="FFFFFF"/>
              </w:rPr>
              <w:t xml:space="preserve">Budget util.</w:t>
            </w:r>
          </w:p>
        </w:tc>
        <w:tc>
          <w:tcPr>
            <w:tcW w:w="1170" w:type="dxa"/>
            <w:shd w:val="clear" w:color="auto" w:fill="1F4E79"/>
            <w:vAlign w:val="center"/>
          </w:tcPr>
          <w:p>
            <w:pPr>
              <w:spacing w:before="20" w:after="20" w:line="240" w:lineRule="auto"/>
              <w:jc w:val="center"/>
            </w:pPr>
            <w:r>
              <w:rPr>
                <w:sz w:val="17"/>
                <w:szCs w:val="17"/>
                <w:rFonts w:ascii="Cambria" w:hAnsi="Cambria"/>
                <w:b/>
                <w:color w:val="FFFFFF"/>
              </w:rPr>
              <w:t xml:space="preserve">Objective value</w:t>
            </w:r>
          </w:p>
        </w:tc>
        <w:tc>
          <w:tcPr>
            <w:tcW w:w="1170" w:type="dxa"/>
            <w:shd w:val="clear" w:color="auto" w:fill="1F4E79"/>
            <w:vAlign w:val="center"/>
          </w:tcPr>
          <w:p>
            <w:pPr>
              <w:spacing w:before="20" w:after="20" w:line="240" w:lineRule="auto"/>
              <w:jc w:val="center"/>
            </w:pPr>
            <w:r>
              <w:rPr>
                <w:sz w:val="17"/>
                <w:szCs w:val="17"/>
                <w:rFonts w:ascii="Cambria" w:hAnsi="Cambria"/>
                <w:b/>
                <w:color w:val="FFFFFF"/>
              </w:rPr>
              <w:t xml:space="preserve">True risk reduction</w:t>
            </w:r>
          </w:p>
        </w:tc>
        <w:tc>
          <w:tcPr>
            <w:tcW w:w="1170" w:type="dxa"/>
            <w:shd w:val="clear" w:color="auto" w:fill="1F4E79"/>
            <w:vAlign w:val="center"/>
          </w:tcPr>
          <w:p>
            <w:pPr>
              <w:spacing w:before="20" w:after="20" w:line="240" w:lineRule="auto"/>
              <w:jc w:val="center"/>
            </w:pPr>
            <w:r>
              <w:rPr>
                <w:sz w:val="17"/>
                <w:szCs w:val="17"/>
                <w:rFonts w:ascii="Cambria" w:hAnsi="Cambria"/>
                <w:b/>
                <w:color w:val="FFFFFF"/>
              </w:rPr>
              <w:t xml:space="preserve">ROI</w:t>
            </w:r>
          </w:p>
        </w:tc>
        <w:tc>
          <w:tcPr>
            <w:tcW w:w="1170" w:type="dxa"/>
            <w:shd w:val="clear" w:color="auto" w:fill="1F4E79"/>
            <w:vAlign w:val="center"/>
          </w:tcPr>
          <w:p>
            <w:pPr>
              <w:spacing w:before="20" w:after="20" w:line="240" w:lineRule="auto"/>
              <w:jc w:val="center"/>
            </w:pPr>
            <w:r>
              <w:rPr>
                <w:sz w:val="17"/>
                <w:szCs w:val="17"/>
                <w:rFonts w:ascii="Cambria" w:hAnsi="Cambria"/>
                <w:b/>
                <w:color w:val="FFFFFF"/>
              </w:rPr>
              <w:t xml:space="preserve">Gap to best (%)</w:t>
            </w:r>
          </w:p>
        </w:tc>
        <w:tc>
          <w:tcPr>
            <w:tcW w:w="1170" w:type="dxa"/>
            <w:shd w:val="clear" w:color="auto" w:fill="1F4E79"/>
            <w:vAlign w:val="center"/>
          </w:tcPr>
          <w:p>
            <w:pPr>
              <w:spacing w:before="20" w:after="20" w:line="240" w:lineRule="auto"/>
              <w:jc w:val="center"/>
            </w:pPr>
            <w:r>
              <w:rPr>
                <w:sz w:val="17"/>
                <w:szCs w:val="17"/>
                <w:rFonts w:ascii="Cambria" w:hAnsi="Cambria"/>
                <w:b/>
                <w:color w:val="FFFFFF"/>
              </w:rPr>
              <w:t xml:space="preserve">Runtime (ms)</w:t>
            </w:r>
          </w:p>
        </w:tc>
      </w:tr>
      <w:tr>
        <w:tc>
          <w:tcPr>
            <w:tcW w:w="1170" w:type="dxa"/>
            <w:vAlign w:val="center"/>
          </w:tcPr>
          <w:p>
            <w:pPr>
              <w:spacing w:before="20" w:after="20" w:line="240" w:lineRule="auto"/>
              <w:jc w:val="left"/>
            </w:pPr>
            <w:r>
              <w:rPr>
                <w:sz w:val="17"/>
                <w:szCs w:val="17"/>
                <w:rFonts w:ascii="Cambria" w:hAnsi="Cambria"/>
              </w:rPr>
              <w:t xml:space="preserve">Random Search</w:t>
            </w:r>
          </w:p>
        </w:tc>
        <w:tc>
          <w:tcPr>
            <w:tcW w:w="1170" w:type="dxa"/>
            <w:vAlign w:val="center"/>
          </w:tcPr>
          <w:p>
            <w:pPr>
              <w:spacing w:before="20" w:after="20" w:line="240" w:lineRule="auto"/>
              <w:jc w:val="right"/>
            </w:pPr>
            <w:r>
              <w:rPr>
                <w:sz w:val="17"/>
                <w:szCs w:val="17"/>
                <w:rFonts w:ascii="Cambria" w:hAnsi="Cambria"/>
              </w:rPr>
              <w:t xml:space="preserve">43</w:t>
            </w:r>
          </w:p>
        </w:tc>
        <w:tc>
          <w:tcPr>
            <w:tcW w:w="1170" w:type="dxa"/>
            <w:vAlign w:val="center"/>
          </w:tcPr>
          <w:p>
            <w:pPr>
              <w:spacing w:before="20" w:after="20" w:line="240" w:lineRule="auto"/>
              <w:jc w:val="right"/>
            </w:pPr>
            <w:r>
              <w:rPr>
                <w:sz w:val="17"/>
                <w:szCs w:val="17"/>
                <w:rFonts w:ascii="Cambria" w:hAnsi="Cambria"/>
              </w:rPr>
              <w:t xml:space="preserve">99.3%</w:t>
            </w:r>
          </w:p>
        </w:tc>
        <w:tc>
          <w:tcPr>
            <w:tcW w:w="1170" w:type="dxa"/>
            <w:vAlign w:val="center"/>
          </w:tcPr>
          <w:p>
            <w:pPr>
              <w:spacing w:before="20" w:after="20" w:line="240" w:lineRule="auto"/>
              <w:jc w:val="right"/>
            </w:pPr>
            <w:r>
              <w:rPr>
                <w:sz w:val="17"/>
                <w:szCs w:val="17"/>
                <w:rFonts w:ascii="Cambria" w:hAnsi="Cambria"/>
              </w:rPr>
              <w:t xml:space="preserve">6669.1</w:t>
            </w:r>
          </w:p>
        </w:tc>
        <w:tc>
          <w:tcPr>
            <w:tcW w:w="1170" w:type="dxa"/>
            <w:vAlign w:val="center"/>
          </w:tcPr>
          <w:p>
            <w:pPr>
              <w:spacing w:before="20" w:after="20" w:line="240" w:lineRule="auto"/>
              <w:jc w:val="right"/>
            </w:pPr>
            <w:r>
              <w:rPr>
                <w:sz w:val="17"/>
                <w:szCs w:val="17"/>
                <w:rFonts w:ascii="Cambria" w:hAnsi="Cambria"/>
              </w:rPr>
              <w:t xml:space="preserve">6524.4</w:t>
            </w:r>
          </w:p>
        </w:tc>
        <w:tc>
          <w:tcPr>
            <w:tcW w:w="1170" w:type="dxa"/>
            <w:vAlign w:val="center"/>
          </w:tcPr>
          <w:p>
            <w:pPr>
              <w:spacing w:before="20" w:after="20" w:line="240" w:lineRule="auto"/>
              <w:jc w:val="right"/>
            </w:pPr>
            <w:r>
              <w:rPr>
                <w:sz w:val="17"/>
                <w:szCs w:val="17"/>
                <w:rFonts w:ascii="Cambria" w:hAnsi="Cambria"/>
              </w:rPr>
              <w:t xml:space="preserve">79.4%</w:t>
            </w:r>
          </w:p>
        </w:tc>
        <w:tc>
          <w:tcPr>
            <w:tcW w:w="1170" w:type="dxa"/>
            <w:vAlign w:val="center"/>
          </w:tcPr>
          <w:p>
            <w:pPr>
              <w:spacing w:before="20" w:after="20" w:line="240" w:lineRule="auto"/>
              <w:jc w:val="right"/>
            </w:pPr>
            <w:r>
              <w:rPr>
                <w:sz w:val="17"/>
                <w:szCs w:val="17"/>
                <w:rFonts w:ascii="Cambria" w:hAnsi="Cambria"/>
              </w:rPr>
              <w:t xml:space="preserve">26.828 ± 1.445</w:t>
            </w:r>
          </w:p>
        </w:tc>
        <w:tc>
          <w:tcPr>
            <w:tcW w:w="1170" w:type="dxa"/>
            <w:vAlign w:val="center"/>
          </w:tcPr>
          <w:p>
            <w:pPr>
              <w:spacing w:before="20" w:after="20" w:line="240" w:lineRule="auto"/>
              <w:jc w:val="right"/>
            </w:pPr>
            <w:r>
              <w:rPr>
                <w:sz w:val="17"/>
                <w:szCs w:val="17"/>
                <w:rFonts w:ascii="Cambria" w:hAnsi="Cambria"/>
              </w:rPr>
              <w:t xml:space="preserve">281.7</w:t>
            </w:r>
          </w:p>
        </w:tc>
      </w:tr>
      <w:tr>
        <w:tc>
          <w:tcPr>
            <w:tcW w:w="1170" w:type="dxa"/>
            <w:shd w:val="clear" w:color="auto" w:fill="EEF3F9"/>
            <w:vAlign w:val="center"/>
          </w:tcPr>
          <w:p>
            <w:pPr>
              <w:spacing w:before="20" w:after="20" w:line="240" w:lineRule="auto"/>
              <w:jc w:val="left"/>
            </w:pPr>
            <w:r>
              <w:rPr>
                <w:sz w:val="17"/>
                <w:szCs w:val="17"/>
                <w:rFonts w:ascii="Cambria" w:hAnsi="Cambria"/>
              </w:rPr>
              <w:t xml:space="preserve">Greedy (value-density)</w:t>
            </w:r>
          </w:p>
        </w:tc>
        <w:tc>
          <w:tcPr>
            <w:tcW w:w="1170" w:type="dxa"/>
            <w:shd w:val="clear" w:color="auto" w:fill="EEF3F9"/>
            <w:vAlign w:val="center"/>
          </w:tcPr>
          <w:p>
            <w:pPr>
              <w:spacing w:before="20" w:after="20" w:line="240" w:lineRule="auto"/>
              <w:jc w:val="right"/>
            </w:pPr>
            <w:r>
              <w:rPr>
                <w:sz w:val="17"/>
                <w:szCs w:val="17"/>
                <w:rFonts w:ascii="Cambria" w:hAnsi="Cambria"/>
              </w:rPr>
              <w:t xml:space="preserve">47</w:t>
            </w:r>
          </w:p>
        </w:tc>
        <w:tc>
          <w:tcPr>
            <w:tcW w:w="1170" w:type="dxa"/>
            <w:shd w:val="clear" w:color="auto" w:fill="EEF3F9"/>
            <w:vAlign w:val="center"/>
          </w:tcPr>
          <w:p>
            <w:pPr>
              <w:spacing w:before="20" w:after="20" w:line="240" w:lineRule="auto"/>
              <w:jc w:val="right"/>
            </w:pPr>
            <w:r>
              <w:rPr>
                <w:sz w:val="17"/>
                <w:szCs w:val="17"/>
                <w:rFonts w:ascii="Cambria" w:hAnsi="Cambria"/>
              </w:rPr>
              <w:t xml:space="preserve">99.8%</w:t>
            </w:r>
          </w:p>
        </w:tc>
        <w:tc>
          <w:tcPr>
            <w:tcW w:w="1170" w:type="dxa"/>
            <w:shd w:val="clear" w:color="auto" w:fill="EEF3F9"/>
            <w:vAlign w:val="center"/>
          </w:tcPr>
          <w:p>
            <w:pPr>
              <w:spacing w:before="20" w:after="20" w:line="240" w:lineRule="auto"/>
              <w:jc w:val="right"/>
            </w:pPr>
            <w:r>
              <w:rPr>
                <w:sz w:val="17"/>
                <w:szCs w:val="17"/>
                <w:rFonts w:ascii="Cambria" w:hAnsi="Cambria"/>
              </w:rPr>
              <w:t xml:space="preserve">8946.0</w:t>
            </w:r>
          </w:p>
        </w:tc>
        <w:tc>
          <w:tcPr>
            <w:tcW w:w="1170" w:type="dxa"/>
            <w:shd w:val="clear" w:color="auto" w:fill="EEF3F9"/>
            <w:vAlign w:val="center"/>
          </w:tcPr>
          <w:p>
            <w:pPr>
              <w:spacing w:before="20" w:after="20" w:line="240" w:lineRule="auto"/>
              <w:jc w:val="right"/>
            </w:pPr>
            <w:r>
              <w:rPr>
                <w:sz w:val="17"/>
                <w:szCs w:val="17"/>
                <w:rFonts w:ascii="Cambria" w:hAnsi="Cambria"/>
              </w:rPr>
              <w:t xml:space="preserve">8776.2</w:t>
            </w:r>
          </w:p>
        </w:tc>
        <w:tc>
          <w:tcPr>
            <w:tcW w:w="1170" w:type="dxa"/>
            <w:shd w:val="clear" w:color="auto" w:fill="EEF3F9"/>
            <w:vAlign w:val="center"/>
          </w:tcPr>
          <w:p>
            <w:pPr>
              <w:spacing w:before="20" w:after="20" w:line="240" w:lineRule="auto"/>
              <w:jc w:val="right"/>
            </w:pPr>
            <w:r>
              <w:rPr>
                <w:sz w:val="17"/>
                <w:szCs w:val="17"/>
                <w:rFonts w:ascii="Cambria" w:hAnsi="Cambria"/>
              </w:rPr>
              <w:t xml:space="preserve">140.0%</w:t>
            </w:r>
          </w:p>
        </w:tc>
        <w:tc>
          <w:tcPr>
            <w:tcW w:w="1170" w:type="dxa"/>
            <w:shd w:val="clear" w:color="auto" w:fill="EEF3F9"/>
            <w:vAlign w:val="center"/>
          </w:tcPr>
          <w:p>
            <w:pPr>
              <w:spacing w:before="20" w:after="20" w:line="240" w:lineRule="auto"/>
              <w:jc w:val="right"/>
            </w:pPr>
            <w:r>
              <w:rPr>
                <w:sz w:val="17"/>
                <w:szCs w:val="17"/>
                <w:rFonts w:ascii="Cambria" w:hAnsi="Cambria"/>
              </w:rPr>
              <w:t xml:space="preserve">1.845 ± 0.204</w:t>
            </w:r>
          </w:p>
        </w:tc>
        <w:tc>
          <w:tcPr>
            <w:tcW w:w="1170" w:type="dxa"/>
            <w:shd w:val="clear" w:color="auto" w:fill="EEF3F9"/>
            <w:vAlign w:val="center"/>
          </w:tcPr>
          <w:p>
            <w:pPr>
              <w:spacing w:before="20" w:after="20" w:line="240" w:lineRule="auto"/>
              <w:jc w:val="right"/>
            </w:pPr>
            <w:r>
              <w:rPr>
                <w:sz w:val="17"/>
                <w:szCs w:val="17"/>
                <w:rFonts w:ascii="Cambria" w:hAnsi="Cambria"/>
              </w:rPr>
              <w:t xml:space="preserve">0.0</w:t>
            </w:r>
          </w:p>
        </w:tc>
      </w:tr>
      <w:tr>
        <w:tc>
          <w:tcPr>
            <w:tcW w:w="1170" w:type="dxa"/>
            <w:vAlign w:val="center"/>
          </w:tcPr>
          <w:p>
            <w:pPr>
              <w:spacing w:before="20" w:after="20" w:line="240" w:lineRule="auto"/>
              <w:jc w:val="left"/>
            </w:pPr>
            <w:r>
              <w:rPr>
                <w:sz w:val="17"/>
                <w:szCs w:val="17"/>
                <w:rFonts w:ascii="Cambria" w:hAnsi="Cambria"/>
              </w:rPr>
              <w:t xml:space="preserve">Classical GA</w:t>
            </w:r>
          </w:p>
        </w:tc>
        <w:tc>
          <w:tcPr>
            <w:tcW w:w="1170" w:type="dxa"/>
            <w:vAlign w:val="center"/>
          </w:tcPr>
          <w:p>
            <w:pPr>
              <w:spacing w:before="20" w:after="20" w:line="240" w:lineRule="auto"/>
              <w:jc w:val="right"/>
            </w:pPr>
            <w:r>
              <w:rPr>
                <w:sz w:val="17"/>
                <w:szCs w:val="17"/>
                <w:rFonts w:ascii="Cambria" w:hAnsi="Cambria"/>
              </w:rPr>
              <w:t xml:space="preserve">46</w:t>
            </w:r>
          </w:p>
        </w:tc>
        <w:tc>
          <w:tcPr>
            <w:tcW w:w="1170" w:type="dxa"/>
            <w:vAlign w:val="center"/>
          </w:tcPr>
          <w:p>
            <w:pPr>
              <w:spacing w:before="20" w:after="20" w:line="240" w:lineRule="auto"/>
              <w:jc w:val="right"/>
            </w:pPr>
            <w:r>
              <w:rPr>
                <w:sz w:val="17"/>
                <w:szCs w:val="17"/>
                <w:rFonts w:ascii="Cambria" w:hAnsi="Cambria"/>
              </w:rPr>
              <w:t xml:space="preserve">99.8%</w:t>
            </w:r>
          </w:p>
        </w:tc>
        <w:tc>
          <w:tcPr>
            <w:tcW w:w="1170" w:type="dxa"/>
            <w:vAlign w:val="center"/>
          </w:tcPr>
          <w:p>
            <w:pPr>
              <w:spacing w:before="20" w:after="20" w:line="240" w:lineRule="auto"/>
              <w:jc w:val="right"/>
            </w:pPr>
            <w:r>
              <w:rPr>
                <w:sz w:val="17"/>
                <w:szCs w:val="17"/>
                <w:rFonts w:ascii="Cambria" w:hAnsi="Cambria"/>
              </w:rPr>
              <w:t xml:space="preserve">9065.1</w:t>
            </w:r>
          </w:p>
        </w:tc>
        <w:tc>
          <w:tcPr>
            <w:tcW w:w="1170" w:type="dxa"/>
            <w:vAlign w:val="center"/>
          </w:tcPr>
          <w:p>
            <w:pPr>
              <w:spacing w:before="20" w:after="20" w:line="240" w:lineRule="auto"/>
              <w:jc w:val="right"/>
            </w:pPr>
            <w:r>
              <w:rPr>
                <w:sz w:val="17"/>
                <w:szCs w:val="17"/>
                <w:rFonts w:ascii="Cambria" w:hAnsi="Cambria"/>
              </w:rPr>
              <w:t xml:space="preserve">8893.2</w:t>
            </w:r>
          </w:p>
        </w:tc>
        <w:tc>
          <w:tcPr>
            <w:tcW w:w="1170" w:type="dxa"/>
            <w:vAlign w:val="center"/>
          </w:tcPr>
          <w:p>
            <w:pPr>
              <w:spacing w:before="20" w:after="20" w:line="240" w:lineRule="auto"/>
              <w:jc w:val="right"/>
            </w:pPr>
            <w:r>
              <w:rPr>
                <w:sz w:val="17"/>
                <w:szCs w:val="17"/>
                <w:rFonts w:ascii="Cambria" w:hAnsi="Cambria"/>
              </w:rPr>
              <w:t xml:space="preserve">143.2%</w:t>
            </w:r>
          </w:p>
        </w:tc>
        <w:tc>
          <w:tcPr>
            <w:tcW w:w="1170" w:type="dxa"/>
            <w:vAlign w:val="center"/>
          </w:tcPr>
          <w:p>
            <w:pPr>
              <w:spacing w:before="20" w:after="20" w:line="240" w:lineRule="auto"/>
              <w:jc w:val="right"/>
            </w:pPr>
            <w:r>
              <w:rPr>
                <w:sz w:val="17"/>
                <w:szCs w:val="17"/>
                <w:rFonts w:ascii="Cambria" w:hAnsi="Cambria"/>
              </w:rPr>
              <w:t xml:space="preserve">0.538 ± 0.377</w:t>
            </w:r>
          </w:p>
        </w:tc>
        <w:tc>
          <w:tcPr>
            <w:tcW w:w="1170" w:type="dxa"/>
            <w:vAlign w:val="center"/>
          </w:tcPr>
          <w:p>
            <w:pPr>
              <w:spacing w:before="20" w:after="20" w:line="240" w:lineRule="auto"/>
              <w:jc w:val="right"/>
            </w:pPr>
            <w:r>
              <w:rPr>
                <w:sz w:val="17"/>
                <w:szCs w:val="17"/>
                <w:rFonts w:ascii="Cambria" w:hAnsi="Cambria"/>
              </w:rPr>
              <w:t xml:space="preserve">136.2</w:t>
            </w:r>
          </w:p>
        </w:tc>
      </w:tr>
      <w:tr>
        <w:tc>
          <w:tcPr>
            <w:tcW w:w="1170" w:type="dxa"/>
            <w:shd w:val="clear" w:color="auto" w:fill="EEF3F9"/>
            <w:vAlign w:val="center"/>
          </w:tcPr>
          <w:p>
            <w:pPr>
              <w:spacing w:before="20" w:after="20" w:line="240" w:lineRule="auto"/>
              <w:jc w:val="left"/>
            </w:pPr>
            <w:r>
              <w:rPr>
                <w:sz w:val="17"/>
                <w:szCs w:val="17"/>
                <w:rFonts w:ascii="Cambria" w:hAnsi="Cambria"/>
                <w:b/>
              </w:rPr>
              <w:t xml:space="preserve">QIEA (ours)</w:t>
            </w:r>
          </w:p>
        </w:tc>
        <w:tc>
          <w:tcPr>
            <w:tcW w:w="1170" w:type="dxa"/>
            <w:shd w:val="clear" w:color="auto" w:fill="EEF3F9"/>
            <w:vAlign w:val="center"/>
          </w:tcPr>
          <w:p>
            <w:pPr>
              <w:spacing w:before="20" w:after="20" w:line="240" w:lineRule="auto"/>
              <w:jc w:val="right"/>
            </w:pPr>
            <w:r>
              <w:rPr>
                <w:sz w:val="17"/>
                <w:szCs w:val="17"/>
                <w:rFonts w:ascii="Cambria" w:hAnsi="Cambria"/>
              </w:rPr>
              <w:t xml:space="preserve">46</w:t>
            </w:r>
          </w:p>
        </w:tc>
        <w:tc>
          <w:tcPr>
            <w:tcW w:w="1170" w:type="dxa"/>
            <w:shd w:val="clear" w:color="auto" w:fill="EEF3F9"/>
            <w:vAlign w:val="center"/>
          </w:tcPr>
          <w:p>
            <w:pPr>
              <w:spacing w:before="20" w:after="20" w:line="240" w:lineRule="auto"/>
              <w:jc w:val="right"/>
            </w:pPr>
            <w:r>
              <w:rPr>
                <w:sz w:val="17"/>
                <w:szCs w:val="17"/>
                <w:rFonts w:ascii="Cambria" w:hAnsi="Cambria"/>
              </w:rPr>
              <w:t xml:space="preserve">100.0%</w:t>
            </w:r>
          </w:p>
        </w:tc>
        <w:tc>
          <w:tcPr>
            <w:tcW w:w="1170" w:type="dxa"/>
            <w:shd w:val="clear" w:color="auto" w:fill="EEF3F9"/>
            <w:vAlign w:val="center"/>
          </w:tcPr>
          <w:p>
            <w:pPr>
              <w:spacing w:before="20" w:after="20" w:line="240" w:lineRule="auto"/>
              <w:jc w:val="right"/>
            </w:pPr>
            <w:r>
              <w:rPr>
                <w:sz w:val="17"/>
                <w:szCs w:val="17"/>
                <w:rFonts w:ascii="Cambria" w:hAnsi="Cambria"/>
                <w:b/>
              </w:rPr>
              <w:t xml:space="preserve">9109.1</w:t>
            </w:r>
          </w:p>
        </w:tc>
        <w:tc>
          <w:tcPr>
            <w:tcW w:w="1170" w:type="dxa"/>
            <w:shd w:val="clear" w:color="auto" w:fill="EEF3F9"/>
            <w:vAlign w:val="center"/>
          </w:tcPr>
          <w:p>
            <w:pPr>
              <w:spacing w:before="20" w:after="20" w:line="240" w:lineRule="auto"/>
              <w:jc w:val="right"/>
            </w:pPr>
            <w:r>
              <w:rPr>
                <w:sz w:val="17"/>
                <w:szCs w:val="17"/>
                <w:rFonts w:ascii="Cambria" w:hAnsi="Cambria"/>
                <w:b/>
              </w:rPr>
              <w:t xml:space="preserve">8943.1</w:t>
            </w:r>
          </w:p>
        </w:tc>
        <w:tc>
          <w:tcPr>
            <w:tcW w:w="1170" w:type="dxa"/>
            <w:shd w:val="clear" w:color="auto" w:fill="EEF3F9"/>
            <w:vAlign w:val="center"/>
          </w:tcPr>
          <w:p>
            <w:pPr>
              <w:spacing w:before="20" w:after="20" w:line="240" w:lineRule="auto"/>
              <w:jc w:val="right"/>
            </w:pPr>
            <w:r>
              <w:rPr>
                <w:sz w:val="17"/>
                <w:szCs w:val="17"/>
                <w:rFonts w:ascii="Cambria" w:hAnsi="Cambria"/>
                <w:b/>
              </w:rPr>
              <w:t xml:space="preserve">144.2%</w:t>
            </w:r>
          </w:p>
        </w:tc>
        <w:tc>
          <w:tcPr>
            <w:tcW w:w="1170" w:type="dxa"/>
            <w:shd w:val="clear" w:color="auto" w:fill="EEF3F9"/>
            <w:vAlign w:val="center"/>
          </w:tcPr>
          <w:p>
            <w:pPr>
              <w:spacing w:before="20" w:after="20" w:line="240" w:lineRule="auto"/>
              <w:jc w:val="right"/>
            </w:pPr>
            <w:r>
              <w:rPr>
                <w:sz w:val="17"/>
                <w:szCs w:val="17"/>
                <w:rFonts w:ascii="Cambria" w:hAnsi="Cambria"/>
                <w:b/>
              </w:rPr>
              <w:t xml:space="preserve">0.056 ± 0.142</w:t>
            </w:r>
          </w:p>
        </w:tc>
        <w:tc>
          <w:tcPr>
            <w:tcW w:w="1170" w:type="dxa"/>
            <w:shd w:val="clear" w:color="auto" w:fill="EEF3F9"/>
            <w:vAlign w:val="center"/>
          </w:tcPr>
          <w:p>
            <w:pPr>
              <w:spacing w:before="20" w:after="20" w:line="240" w:lineRule="auto"/>
              <w:jc w:val="right"/>
            </w:pPr>
            <w:r>
              <w:rPr>
                <w:sz w:val="17"/>
                <w:szCs w:val="17"/>
                <w:rFonts w:ascii="Cambria" w:hAnsi="Cambria"/>
              </w:rPr>
              <w:t xml:space="preserve">251.5</w:t>
            </w:r>
          </w:p>
        </w:tc>
      </w:tr>
      <w:tr>
        <w:tc>
          <w:tcPr>
            <w:tcW w:w="1170" w:type="dxa"/>
            <w:vAlign w:val="center"/>
          </w:tcPr>
          <w:p>
            <w:pPr>
              <w:spacing w:before="20" w:after="20" w:line="240" w:lineRule="auto"/>
              <w:jc w:val="left"/>
            </w:pPr>
            <w:r>
              <w:rPr>
                <w:sz w:val="17"/>
                <w:szCs w:val="17"/>
                <w:rFonts w:ascii="Cambria" w:hAnsi="Cambria"/>
              </w:rPr>
              <w:t xml:space="preserve">Linear-DP (synergy-blind)</w:t>
            </w:r>
          </w:p>
        </w:tc>
        <w:tc>
          <w:tcPr>
            <w:tcW w:w="1170" w:type="dxa"/>
            <w:vAlign w:val="center"/>
          </w:tcPr>
          <w:p>
            <w:pPr>
              <w:spacing w:before="20" w:after="20" w:line="240" w:lineRule="auto"/>
              <w:jc w:val="right"/>
            </w:pPr>
            <w:r>
              <w:rPr>
                <w:sz w:val="17"/>
                <w:szCs w:val="17"/>
                <w:rFonts w:ascii="Cambria" w:hAnsi="Cambria"/>
              </w:rPr>
              <w:t xml:space="preserve">47</w:t>
            </w:r>
          </w:p>
        </w:tc>
        <w:tc>
          <w:tcPr>
            <w:tcW w:w="1170" w:type="dxa"/>
            <w:vAlign w:val="center"/>
          </w:tcPr>
          <w:p>
            <w:pPr>
              <w:spacing w:before="20" w:after="20" w:line="240" w:lineRule="auto"/>
              <w:jc w:val="right"/>
            </w:pPr>
            <w:r>
              <w:rPr>
                <w:sz w:val="17"/>
                <w:szCs w:val="17"/>
                <w:rFonts w:ascii="Cambria" w:hAnsi="Cambria"/>
              </w:rPr>
              <w:t xml:space="preserve">100.0%</w:t>
            </w:r>
          </w:p>
        </w:tc>
        <w:tc>
          <w:tcPr>
            <w:tcW w:w="1170" w:type="dxa"/>
            <w:vAlign w:val="center"/>
          </w:tcPr>
          <w:p>
            <w:pPr>
              <w:spacing w:before="20" w:after="20" w:line="240" w:lineRule="auto"/>
              <w:jc w:val="right"/>
            </w:pPr>
            <w:r>
              <w:rPr>
                <w:sz w:val="17"/>
                <w:szCs w:val="17"/>
                <w:rFonts w:ascii="Cambria" w:hAnsi="Cambria"/>
              </w:rPr>
              <w:t xml:space="preserve">8879.4</w:t>
            </w:r>
          </w:p>
        </w:tc>
        <w:tc>
          <w:tcPr>
            <w:tcW w:w="1170" w:type="dxa"/>
            <w:vAlign w:val="center"/>
          </w:tcPr>
          <w:p>
            <w:pPr>
              <w:spacing w:before="20" w:after="20" w:line="240" w:lineRule="auto"/>
              <w:jc w:val="right"/>
            </w:pPr>
            <w:r>
              <w:rPr>
                <w:sz w:val="17"/>
                <w:szCs w:val="17"/>
                <w:rFonts w:ascii="Cambria" w:hAnsi="Cambria"/>
              </w:rPr>
              <w:t xml:space="preserve">8707.7</w:t>
            </w:r>
          </w:p>
        </w:tc>
        <w:tc>
          <w:tcPr>
            <w:tcW w:w="1170" w:type="dxa"/>
            <w:vAlign w:val="center"/>
          </w:tcPr>
          <w:p>
            <w:pPr>
              <w:spacing w:before="20" w:after="20" w:line="240" w:lineRule="auto"/>
              <w:jc w:val="right"/>
            </w:pPr>
            <w:r>
              <w:rPr>
                <w:sz w:val="17"/>
                <w:szCs w:val="17"/>
                <w:rFonts w:ascii="Cambria" w:hAnsi="Cambria"/>
              </w:rPr>
              <w:t xml:space="preserve">137.7%</w:t>
            </w:r>
          </w:p>
        </w:tc>
        <w:tc>
          <w:tcPr>
            <w:tcW w:w="1170" w:type="dxa"/>
            <w:vAlign w:val="center"/>
          </w:tcPr>
          <w:p>
            <w:pPr>
              <w:spacing w:before="20" w:after="20" w:line="240" w:lineRule="auto"/>
              <w:jc w:val="right"/>
            </w:pPr>
            <w:r>
              <w:rPr>
                <w:sz w:val="17"/>
                <w:szCs w:val="17"/>
                <w:rFonts w:ascii="Cambria" w:hAnsi="Cambria"/>
              </w:rPr>
              <w:t xml:space="preserve">2.575 ± 0.202</w:t>
            </w:r>
          </w:p>
        </w:tc>
        <w:tc>
          <w:tcPr>
            <w:tcW w:w="1170" w:type="dxa"/>
            <w:vAlign w:val="center"/>
          </w:tcPr>
          <w:p>
            <w:pPr>
              <w:spacing w:before="20" w:after="20" w:line="240" w:lineRule="auto"/>
              <w:jc w:val="right"/>
            </w:pPr>
            <w:r>
              <w:rPr>
                <w:sz w:val="17"/>
                <w:szCs w:val="17"/>
                <w:rFonts w:ascii="Cambria" w:hAnsi="Cambria"/>
              </w:rPr>
              <w:t xml:space="preserve">29.5</w:t>
            </w:r>
          </w:p>
        </w:tc>
      </w:tr>
    </w:tbl>
    <w:p>
      <w:pPr>
        <w:spacing w:after="160"/>
      </w:pPr>
    </w:p>
    <w:p>
      <w:pPr>
        <w:spacing w:before="0" w:after="140" w:line="288" w:lineRule="auto"/>
        <w:jc w:val="both"/>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before="0" w:after="140" w:line="288" w:lineRule="auto"/>
        <w:jc w:val="both"/>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W w:w="9360" w:type="dxa"/>
        <w:jc w:val="center"/>
        <w:tblBorders>
          <w:top w:val="single" w:sz="12" w:space="0" w:color="1F4E79"/>
          <w:bottom w:val="single" w:sz="12" w:space="0" w:color="1F4E79"/>
          <w:insideH w:val="single" w:sz="2" w:space="0" w:color="BFBFBF"/>
        </w:tblBorders>
        <w:tblCellMar>
          <w:top w:w="40" w:type="dxa"/>
          <w:bottom w:w="40" w:type="dxa"/>
          <w:left w:w="80" w:type="dxa"/>
          <w:right w:w="80" w:type="dxa"/>
        </w:tblCellMar>
      </w:tblPr>
      <w:tblGrid>
        <w:gridCol w:w="1560"/>
        <w:gridCol w:w="1560"/>
        <w:gridCol w:w="1560"/>
        <w:gridCol w:w="1560"/>
        <w:gridCol w:w="1560"/>
        <w:gridCol w:w="1560"/>
      </w:tblGrid>
      <w:tr>
        <w:tc>
          <w:tcPr>
            <w:tcW w:w="1560" w:type="dxa"/>
            <w:shd w:val="clear" w:color="auto" w:fill="1F4E79"/>
            <w:vAlign w:val="center"/>
          </w:tcPr>
          <w:p>
            <w:pPr>
              <w:spacing w:before="20" w:after="20" w:line="240" w:lineRule="auto"/>
              <w:jc w:val="left"/>
            </w:pPr>
            <w:r>
              <w:rPr>
                <w:sz w:val="17"/>
                <w:szCs w:val="17"/>
                <w:rFonts w:ascii="Cambria" w:hAnsi="Cambria"/>
                <w:b/>
                <w:color w:val="FFFFFF"/>
              </w:rPr>
              <w:t xml:space="preserve">Framework configuration</w:t>
            </w:r>
          </w:p>
        </w:tc>
        <w:tc>
          <w:tcPr>
            <w:tcW w:w="1560" w:type="dxa"/>
            <w:shd w:val="clear" w:color="auto" w:fill="1F4E79"/>
            <w:vAlign w:val="center"/>
          </w:tcPr>
          <w:p>
            <w:pPr>
              <w:spacing w:before="20" w:after="20" w:line="240" w:lineRule="auto"/>
              <w:jc w:val="center"/>
            </w:pPr>
            <w:r>
              <w:rPr>
                <w:sz w:val="17"/>
                <w:szCs w:val="17"/>
                <w:rFonts w:ascii="Cambria" w:hAnsi="Cambria"/>
                <w:b/>
                <w:color w:val="FFFFFF"/>
              </w:rPr>
              <w:t xml:space="preserve">Controls funded</w:t>
            </w:r>
          </w:p>
        </w:tc>
        <w:tc>
          <w:tcPr>
            <w:tcW w:w="1560" w:type="dxa"/>
            <w:shd w:val="clear" w:color="auto" w:fill="1F4E79"/>
            <w:vAlign w:val="center"/>
          </w:tcPr>
          <w:p>
            <w:pPr>
              <w:spacing w:before="20" w:after="20" w:line="240" w:lineRule="auto"/>
              <w:jc w:val="center"/>
            </w:pPr>
            <w:r>
              <w:rPr>
                <w:sz w:val="17"/>
                <w:szCs w:val="17"/>
                <w:rFonts w:ascii="Cambria" w:hAnsi="Cambria"/>
                <w:b/>
                <w:color w:val="FFFFFF"/>
              </w:rPr>
              <w:t xml:space="preserve">ELR utility</w:t>
            </w:r>
          </w:p>
        </w:tc>
        <w:tc>
          <w:tcPr>
            <w:tcW w:w="1560" w:type="dxa"/>
            <w:shd w:val="clear" w:color="auto" w:fill="1F4E79"/>
            <w:vAlign w:val="center"/>
          </w:tcPr>
          <w:p>
            <w:pPr>
              <w:spacing w:before="20" w:after="20" w:line="240" w:lineRule="auto"/>
              <w:jc w:val="center"/>
            </w:pPr>
            <w:r>
              <w:rPr>
                <w:sz w:val="17"/>
                <w:szCs w:val="17"/>
                <w:rFonts w:ascii="Cambria" w:hAnsi="Cambria"/>
                <w:b/>
                <w:color w:val="FFFFFF"/>
              </w:rPr>
              <w:t xml:space="preserve">True risk reduction</w:t>
            </w:r>
          </w:p>
        </w:tc>
        <w:tc>
          <w:tcPr>
            <w:tcW w:w="1560" w:type="dxa"/>
            <w:shd w:val="clear" w:color="auto" w:fill="1F4E79"/>
            <w:vAlign w:val="center"/>
          </w:tcPr>
          <w:p>
            <w:pPr>
              <w:spacing w:before="20" w:after="20" w:line="240" w:lineRule="auto"/>
              <w:jc w:val="center"/>
            </w:pPr>
            <w:r>
              <w:rPr>
                <w:sz w:val="17"/>
                <w:szCs w:val="17"/>
                <w:rFonts w:ascii="Cambria" w:hAnsi="Cambria"/>
                <w:b/>
                <w:color w:val="FFFFFF"/>
              </w:rPr>
              <w:t xml:space="preserve">ROI</w:t>
            </w:r>
          </w:p>
        </w:tc>
        <w:tc>
          <w:tcPr>
            <w:tcW w:w="1560" w:type="dxa"/>
            <w:shd w:val="clear" w:color="auto" w:fill="1F4E79"/>
            <w:vAlign w:val="center"/>
          </w:tcPr>
          <w:p>
            <w:pPr>
              <w:spacing w:before="20" w:after="20" w:line="240" w:lineRule="auto"/>
              <w:jc w:val="center"/>
            </w:pPr>
            <w:r>
              <w:rPr>
                <w:sz w:val="17"/>
                <w:szCs w:val="17"/>
                <w:rFonts w:ascii="Cambria" w:hAnsi="Cambria"/>
                <w:b/>
                <w:color w:val="FFFFFF"/>
              </w:rPr>
              <w:t xml:space="preserve">Lift vs. base</w:t>
            </w:r>
          </w:p>
        </w:tc>
      </w:tr>
      <w:tr>
        <w:tc>
          <w:tcPr>
            <w:tcW w:w="1560" w:type="dxa"/>
            <w:vAlign w:val="center"/>
          </w:tcPr>
          <w:p>
            <w:pPr>
              <w:spacing w:before="20" w:after="20" w:line="240" w:lineRule="auto"/>
              <w:jc w:val="left"/>
            </w:pPr>
            <w:r>
              <w:rPr>
                <w:sz w:val="17"/>
                <w:szCs w:val="17"/>
                <w:rFonts w:ascii="Cambria" w:hAnsi="Cambria"/>
              </w:rPr>
              <w:t xml:space="preserve">QIEA only (no learning / knowledge / synergy)</w:t>
            </w:r>
          </w:p>
        </w:tc>
        <w:tc>
          <w:tcPr>
            <w:tcW w:w="1560" w:type="dxa"/>
            <w:vAlign w:val="center"/>
          </w:tcPr>
          <w:p>
            <w:pPr>
              <w:spacing w:before="20" w:after="20" w:line="240" w:lineRule="auto"/>
              <w:jc w:val="right"/>
            </w:pPr>
            <w:r>
              <w:rPr>
                <w:sz w:val="17"/>
                <w:szCs w:val="17"/>
                <w:rFonts w:ascii="Cambria" w:hAnsi="Cambria"/>
              </w:rPr>
              <w:t xml:space="preserve">47</w:t>
            </w:r>
          </w:p>
        </w:tc>
        <w:tc>
          <w:tcPr>
            <w:tcW w:w="1560" w:type="dxa"/>
            <w:vAlign w:val="center"/>
          </w:tcPr>
          <w:p>
            <w:pPr>
              <w:spacing w:before="20" w:after="20" w:line="240" w:lineRule="auto"/>
              <w:jc w:val="right"/>
            </w:pPr>
            <w:r>
              <w:rPr>
                <w:sz w:val="17"/>
                <w:szCs w:val="17"/>
                <w:rFonts w:ascii="Cambria" w:hAnsi="Cambria"/>
              </w:rPr>
              <w:t xml:space="preserve">8057.7</w:t>
            </w:r>
          </w:p>
        </w:tc>
        <w:tc>
          <w:tcPr>
            <w:tcW w:w="1560" w:type="dxa"/>
            <w:vAlign w:val="center"/>
          </w:tcPr>
          <w:p>
            <w:pPr>
              <w:spacing w:before="20" w:after="20" w:line="240" w:lineRule="auto"/>
              <w:jc w:val="right"/>
            </w:pPr>
            <w:r>
              <w:rPr>
                <w:sz w:val="17"/>
                <w:szCs w:val="17"/>
                <w:rFonts w:ascii="Cambria" w:hAnsi="Cambria"/>
              </w:rPr>
              <w:t xml:space="preserve">8358.3</w:t>
            </w:r>
          </w:p>
        </w:tc>
        <w:tc>
          <w:tcPr>
            <w:tcW w:w="1560" w:type="dxa"/>
            <w:vAlign w:val="center"/>
          </w:tcPr>
          <w:p>
            <w:pPr>
              <w:spacing w:before="20" w:after="20" w:line="240" w:lineRule="auto"/>
              <w:jc w:val="right"/>
            </w:pPr>
            <w:r>
              <w:rPr>
                <w:sz w:val="17"/>
                <w:szCs w:val="17"/>
                <w:rFonts w:ascii="Cambria" w:hAnsi="Cambria"/>
              </w:rPr>
              <w:t xml:space="preserve">128.5%</w:t>
            </w:r>
          </w:p>
        </w:tc>
        <w:tc>
          <w:tcPr>
            <w:tcW w:w="1560" w:type="dxa"/>
            <w:vAlign w:val="center"/>
          </w:tcPr>
          <w:p>
            <w:pPr>
              <w:spacing w:before="20" w:after="20" w:line="240" w:lineRule="auto"/>
              <w:jc w:val="right"/>
            </w:pPr>
            <w:r>
              <w:rPr>
                <w:sz w:val="17"/>
                <w:szCs w:val="17"/>
                <w:rFonts w:ascii="Cambria" w:hAnsi="Cambria"/>
              </w:rPr>
              <w:t xml:space="preserve">+0.0%</w:t>
            </w:r>
          </w:p>
        </w:tc>
      </w:tr>
      <w:tr>
        <w:tc>
          <w:tcPr>
            <w:tcW w:w="1560" w:type="dxa"/>
            <w:shd w:val="clear" w:color="auto" w:fill="EEF3F9"/>
            <w:vAlign w:val="center"/>
          </w:tcPr>
          <w:p>
            <w:pPr>
              <w:spacing w:before="20" w:after="20" w:line="240" w:lineRule="auto"/>
              <w:jc w:val="left"/>
            </w:pPr>
            <w:r>
              <w:rPr>
                <w:sz w:val="17"/>
                <w:szCs w:val="17"/>
                <w:rFonts w:ascii="Cambria" w:hAnsi="Cambria"/>
              </w:rPr>
              <w:t xml:space="preserve">+ Prediction layer</w:t>
            </w:r>
          </w:p>
        </w:tc>
        <w:tc>
          <w:tcPr>
            <w:tcW w:w="1560" w:type="dxa"/>
            <w:shd w:val="clear" w:color="auto" w:fill="EEF3F9"/>
            <w:vAlign w:val="center"/>
          </w:tcPr>
          <w:p>
            <w:pPr>
              <w:spacing w:before="20" w:after="20" w:line="240" w:lineRule="auto"/>
              <w:jc w:val="right"/>
            </w:pPr>
            <w:r>
              <w:rPr>
                <w:sz w:val="17"/>
                <w:szCs w:val="17"/>
                <w:rFonts w:ascii="Cambria" w:hAnsi="Cambria"/>
              </w:rPr>
              <w:t xml:space="preserve">46</w:t>
            </w:r>
          </w:p>
        </w:tc>
        <w:tc>
          <w:tcPr>
            <w:tcW w:w="1560" w:type="dxa"/>
            <w:shd w:val="clear" w:color="auto" w:fill="EEF3F9"/>
            <w:vAlign w:val="center"/>
          </w:tcPr>
          <w:p>
            <w:pPr>
              <w:spacing w:before="20" w:after="20" w:line="240" w:lineRule="auto"/>
              <w:jc w:val="right"/>
            </w:pPr>
            <w:r>
              <w:rPr>
                <w:sz w:val="17"/>
                <w:szCs w:val="17"/>
                <w:rFonts w:ascii="Cambria" w:hAnsi="Cambria"/>
              </w:rPr>
              <w:t xml:space="preserve">8291.4</w:t>
            </w:r>
          </w:p>
        </w:tc>
        <w:tc>
          <w:tcPr>
            <w:tcW w:w="1560" w:type="dxa"/>
            <w:shd w:val="clear" w:color="auto" w:fill="EEF3F9"/>
            <w:vAlign w:val="center"/>
          </w:tcPr>
          <w:p>
            <w:pPr>
              <w:spacing w:before="20" w:after="20" w:line="240" w:lineRule="auto"/>
              <w:jc w:val="right"/>
            </w:pPr>
            <w:r>
              <w:rPr>
                <w:sz w:val="17"/>
                <w:szCs w:val="17"/>
                <w:rFonts w:ascii="Cambria" w:hAnsi="Cambria"/>
              </w:rPr>
              <w:t xml:space="preserve">8578.5</w:t>
            </w:r>
          </w:p>
        </w:tc>
        <w:tc>
          <w:tcPr>
            <w:tcW w:w="1560" w:type="dxa"/>
            <w:shd w:val="clear" w:color="auto" w:fill="EEF3F9"/>
            <w:vAlign w:val="center"/>
          </w:tcPr>
          <w:p>
            <w:pPr>
              <w:spacing w:before="20" w:after="20" w:line="240" w:lineRule="auto"/>
              <w:jc w:val="right"/>
            </w:pPr>
            <w:r>
              <w:rPr>
                <w:sz w:val="17"/>
                <w:szCs w:val="17"/>
                <w:rFonts w:ascii="Cambria" w:hAnsi="Cambria"/>
              </w:rPr>
              <w:t xml:space="preserve">134.2%</w:t>
            </w:r>
          </w:p>
        </w:tc>
        <w:tc>
          <w:tcPr>
            <w:tcW w:w="1560" w:type="dxa"/>
            <w:shd w:val="clear" w:color="auto" w:fill="EEF3F9"/>
            <w:vAlign w:val="center"/>
          </w:tcPr>
          <w:p>
            <w:pPr>
              <w:spacing w:before="20" w:after="20" w:line="240" w:lineRule="auto"/>
              <w:jc w:val="right"/>
            </w:pPr>
            <w:r>
              <w:rPr>
                <w:sz w:val="17"/>
                <w:szCs w:val="17"/>
                <w:rFonts w:ascii="Cambria" w:hAnsi="Cambria"/>
              </w:rPr>
              <w:t xml:space="preserve">+2.6%</w:t>
            </w:r>
          </w:p>
        </w:tc>
      </w:tr>
      <w:tr>
        <w:tc>
          <w:tcPr>
            <w:tcW w:w="1560" w:type="dxa"/>
            <w:vAlign w:val="center"/>
          </w:tcPr>
          <w:p>
            <w:pPr>
              <w:spacing w:before="20" w:after="20" w:line="240" w:lineRule="auto"/>
              <w:jc w:val="left"/>
            </w:pPr>
            <w:r>
              <w:rPr>
                <w:sz w:val="17"/>
                <w:szCs w:val="17"/>
                <w:rFonts w:ascii="Cambria" w:hAnsi="Cambria"/>
              </w:rPr>
              <w:t xml:space="preserve">+ Knowledge layer</w:t>
            </w:r>
          </w:p>
        </w:tc>
        <w:tc>
          <w:tcPr>
            <w:tcW w:w="1560" w:type="dxa"/>
            <w:vAlign w:val="center"/>
          </w:tcPr>
          <w:p>
            <w:pPr>
              <w:spacing w:before="20" w:after="20" w:line="240" w:lineRule="auto"/>
              <w:jc w:val="right"/>
            </w:pPr>
            <w:r>
              <w:rPr>
                <w:sz w:val="17"/>
                <w:szCs w:val="17"/>
                <w:rFonts w:ascii="Cambria" w:hAnsi="Cambria"/>
              </w:rPr>
              <w:t xml:space="preserve">47</w:t>
            </w:r>
          </w:p>
        </w:tc>
        <w:tc>
          <w:tcPr>
            <w:tcW w:w="1560" w:type="dxa"/>
            <w:vAlign w:val="center"/>
          </w:tcPr>
          <w:p>
            <w:pPr>
              <w:spacing w:before="20" w:after="20" w:line="240" w:lineRule="auto"/>
              <w:jc w:val="right"/>
            </w:pPr>
            <w:r>
              <w:rPr>
                <w:sz w:val="17"/>
                <w:szCs w:val="17"/>
                <w:rFonts w:ascii="Cambria" w:hAnsi="Cambria"/>
              </w:rPr>
              <w:t xml:space="preserve">8828.4</w:t>
            </w:r>
          </w:p>
        </w:tc>
        <w:tc>
          <w:tcPr>
            <w:tcW w:w="1560" w:type="dxa"/>
            <w:vAlign w:val="center"/>
          </w:tcPr>
          <w:p>
            <w:pPr>
              <w:spacing w:before="20" w:after="20" w:line="240" w:lineRule="auto"/>
              <w:jc w:val="right"/>
            </w:pPr>
            <w:r>
              <w:rPr>
                <w:sz w:val="17"/>
                <w:szCs w:val="17"/>
                <w:rFonts w:ascii="Cambria" w:hAnsi="Cambria"/>
              </w:rPr>
              <w:t xml:space="preserve">8668.5</w:t>
            </w:r>
          </w:p>
        </w:tc>
        <w:tc>
          <w:tcPr>
            <w:tcW w:w="1560" w:type="dxa"/>
            <w:vAlign w:val="center"/>
          </w:tcPr>
          <w:p>
            <w:pPr>
              <w:spacing w:before="20" w:after="20" w:line="240" w:lineRule="auto"/>
              <w:jc w:val="right"/>
            </w:pPr>
            <w:r>
              <w:rPr>
                <w:sz w:val="17"/>
                <w:szCs w:val="17"/>
                <w:rFonts w:ascii="Cambria" w:hAnsi="Cambria"/>
              </w:rPr>
              <w:t xml:space="preserve">137.2%</w:t>
            </w:r>
          </w:p>
        </w:tc>
        <w:tc>
          <w:tcPr>
            <w:tcW w:w="1560" w:type="dxa"/>
            <w:vAlign w:val="center"/>
          </w:tcPr>
          <w:p>
            <w:pPr>
              <w:spacing w:before="20" w:after="20" w:line="240" w:lineRule="auto"/>
              <w:jc w:val="right"/>
            </w:pPr>
            <w:r>
              <w:rPr>
                <w:sz w:val="17"/>
                <w:szCs w:val="17"/>
                <w:rFonts w:ascii="Cambria" w:hAnsi="Cambria"/>
              </w:rPr>
              <w:t xml:space="preserve">+3.7%</w:t>
            </w:r>
          </w:p>
        </w:tc>
      </w:tr>
      <w:tr>
        <w:tc>
          <w:tcPr>
            <w:tcW w:w="1560" w:type="dxa"/>
            <w:shd w:val="clear" w:color="auto" w:fill="EEF3F9"/>
            <w:vAlign w:val="center"/>
          </w:tcPr>
          <w:p>
            <w:pPr>
              <w:spacing w:before="20" w:after="20" w:line="240" w:lineRule="auto"/>
              <w:jc w:val="left"/>
            </w:pPr>
            <w:r>
              <w:rPr>
                <w:sz w:val="17"/>
                <w:szCs w:val="17"/>
                <w:rFonts w:ascii="Cambria" w:hAnsi="Cambria"/>
              </w:rPr>
              <w:t xml:space="preserve">+ Synergy layer (full framework)</w:t>
            </w:r>
          </w:p>
        </w:tc>
        <w:tc>
          <w:tcPr>
            <w:tcW w:w="1560" w:type="dxa"/>
            <w:shd w:val="clear" w:color="auto" w:fill="EEF3F9"/>
            <w:vAlign w:val="center"/>
          </w:tcPr>
          <w:p>
            <w:pPr>
              <w:spacing w:before="20" w:after="20" w:line="240" w:lineRule="auto"/>
              <w:jc w:val="right"/>
            </w:pPr>
            <w:r>
              <w:rPr>
                <w:sz w:val="17"/>
                <w:szCs w:val="17"/>
                <w:rFonts w:ascii="Cambria" w:hAnsi="Cambria"/>
              </w:rPr>
              <w:t xml:space="preserve">47</w:t>
            </w:r>
          </w:p>
        </w:tc>
        <w:tc>
          <w:tcPr>
            <w:tcW w:w="1560" w:type="dxa"/>
            <w:shd w:val="clear" w:color="auto" w:fill="EEF3F9"/>
            <w:vAlign w:val="center"/>
          </w:tcPr>
          <w:p>
            <w:pPr>
              <w:spacing w:before="20" w:after="20" w:line="240" w:lineRule="auto"/>
              <w:jc w:val="right"/>
            </w:pPr>
            <w:r>
              <w:rPr>
                <w:sz w:val="17"/>
                <w:szCs w:val="17"/>
                <w:rFonts w:ascii="Cambria" w:hAnsi="Cambria"/>
              </w:rPr>
              <w:t xml:space="preserve">9137.4</w:t>
            </w:r>
          </w:p>
        </w:tc>
        <w:tc>
          <w:tcPr>
            <w:tcW w:w="1560" w:type="dxa"/>
            <w:shd w:val="clear" w:color="auto" w:fill="EEF3F9"/>
            <w:vAlign w:val="center"/>
          </w:tcPr>
          <w:p>
            <w:pPr>
              <w:spacing w:before="20" w:after="20" w:line="240" w:lineRule="auto"/>
              <w:jc w:val="right"/>
            </w:pPr>
            <w:r>
              <w:rPr>
                <w:sz w:val="17"/>
                <w:szCs w:val="17"/>
                <w:rFonts w:ascii="Cambria" w:hAnsi="Cambria"/>
              </w:rPr>
              <w:t xml:space="preserve">8983.3</w:t>
            </w:r>
          </w:p>
        </w:tc>
        <w:tc>
          <w:tcPr>
            <w:tcW w:w="1560" w:type="dxa"/>
            <w:shd w:val="clear" w:color="auto" w:fill="EEF3F9"/>
            <w:vAlign w:val="center"/>
          </w:tcPr>
          <w:p>
            <w:pPr>
              <w:spacing w:before="20" w:after="20" w:line="240" w:lineRule="auto"/>
              <w:jc w:val="right"/>
            </w:pPr>
            <w:r>
              <w:rPr>
                <w:sz w:val="17"/>
                <w:szCs w:val="17"/>
                <w:rFonts w:ascii="Cambria" w:hAnsi="Cambria"/>
              </w:rPr>
              <w:t xml:space="preserve">145.3%</w:t>
            </w:r>
          </w:p>
        </w:tc>
        <w:tc>
          <w:tcPr>
            <w:tcW w:w="1560" w:type="dxa"/>
            <w:shd w:val="clear" w:color="auto" w:fill="EEF3F9"/>
            <w:vAlign w:val="center"/>
          </w:tcPr>
          <w:p>
            <w:pPr>
              <w:spacing w:before="20" w:after="20" w:line="240" w:lineRule="auto"/>
              <w:jc w:val="right"/>
            </w:pPr>
            <w:r>
              <w:rPr>
                <w:sz w:val="17"/>
                <w:szCs w:val="17"/>
                <w:rFonts w:ascii="Cambria" w:hAnsi="Cambria"/>
              </w:rPr>
              <w:t xml:space="preserve">+7.5%</w:t>
            </w:r>
          </w:p>
        </w:tc>
      </w:tr>
    </w:tbl>
    <w:p>
      <w:pPr>
        <w:spacing w:after="160"/>
      </w:pPr>
    </w:p>
    <w:p>
      <w:pPr>
        <w:spacing w:before="0" w:after="140" w:line="288" w:lineRule="auto"/>
        <w:jc w:val="both"/>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before="0" w:after="160" w:line="240" w:lineRule="auto"/>
      </w:pPr>
      <w:r>
        <w:rPr>
          <w:b/>
          <w:sz w:val="19.0"/>
          <w:szCs w:val="19.0"/>
          <w:color w:val="595959"/>
        </w:rPr>
        <w:t xml:space="preserve">Fig. 1.</w:t>
      </w:r>
      <w:r>
        <w:rPr>
          <w:sz w:val="19.0"/>
          <w:szCs w:val="19.0"/>
          <w:color w:val="595959"/>
        </w:rPr>
        <w:t xml:space="preserve"> Convergence of the quantum-inspired optimizer. The curves show the best synergy-aware objective value </w:t>
      </w:r>
      <w:r>
        <w:rPr>
          <w:i/>
          <w:sz w:val="19.0"/>
          <w:szCs w:val="19.0"/>
          <w:color w:val="595959"/>
        </w:rPr>
        <w:t xml:space="preserve">V</w:t>
      </w:r>
      <w:r>
        <w:rPr>
          <w:sz w:val="19.0"/>
          <w:szCs w:val="19.0"/>
          <w:color w:val="595959"/>
        </w:rPr>
        <w:t xml:space="preserve">(</w:t>
      </w:r>
      <w:r>
        <w:rPr>
          <w:i/>
          <w:sz w:val="19.0"/>
          <w:szCs w:val="19.0"/>
          <w:color w:val="595959"/>
        </w:rPr>
        <w:t xml:space="preserve">x</w:t>
      </w:r>
      <w:r>
        <w:rPr>
          <w:sz w:val="19.0"/>
          <w:szCs w:val="19.0"/>
          <w:color w:val="595959"/>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19.0"/>
          <w:szCs w:val="19.0"/>
          <w:color w:val="595959"/>
        </w:rPr>
        <w:t xml:space="preserve">artifacts/figure1_convergence.svg</w:t>
      </w:r>
      <w:r>
        <w:rPr>
          <w:sz w:val="19.0"/>
          <w:szCs w:val="19.0"/>
          <w:color w:val="595959"/>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before="0" w:after="160" w:line="240" w:lineRule="auto"/>
      </w:pPr>
      <w:r>
        <w:rPr>
          <w:b/>
          <w:sz w:val="19.0"/>
          <w:szCs w:val="19.0"/>
          <w:color w:val="595959"/>
        </w:rPr>
        <w:t xml:space="preserve">Fig. 2.</w:t>
      </w:r>
      <w:r>
        <w:rPr>
          <w:sz w:val="19.0"/>
          <w:szCs w:val="19.0"/>
          <w:color w:val="595959"/>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19.0"/>
          <w:szCs w:val="19.0"/>
          <w:color w:val="595959"/>
        </w:rPr>
        <w:t xml:space="preserve">artifacts/figure2_frontier.svg</w:t>
      </w:r>
      <w:r>
        <w:rPr>
          <w:sz w:val="19.0"/>
          <w:szCs w:val="19.0"/>
          <w:color w:val="595959"/>
        </w:rPr>
        <w:t xml:space="preserve">.)</w:t>
      </w:r>
    </w:p>
    <w:p>
      <w:pPr>
        <w:spacing w:before="240" w:after="100" w:line="276" w:lineRule="auto"/>
        <w:keepNext/>
      </w:pPr>
      <w:r>
        <w:rPr>
          <w:b/>
          <w:sz w:val="27.0"/>
          <w:szCs w:val="27.0"/>
          <w:color w:val="1F4E79"/>
        </w:rPr>
        <w:t xml:space="preserve">5. Discussion and conclusion</w:t>
      </w:r>
    </w:p>
    <w:p>
      <w:pPr>
        <w:spacing w:before="160" w:after="80" w:line="276" w:lineRule="auto"/>
        <w:keepNext/>
      </w:pPr>
      <w:r>
        <w:rPr>
          <w:b/>
          <w:sz w:val="23.0"/>
          <w:szCs w:val="23.0"/>
          <w:color w:val="2E2E2E"/>
        </w:rPr>
        <w:t xml:space="preserve">5.1 Principal findings</w:t>
      </w:r>
    </w:p>
    <w:p>
      <w:pPr>
        <w:spacing w:before="0" w:after="140" w:line="288" w:lineRule="auto"/>
        <w:jc w:val="both"/>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before="160" w:after="80" w:line="276" w:lineRule="auto"/>
        <w:keepNext/>
      </w:pPr>
      <w:r>
        <w:rPr>
          <w:b/>
          <w:sz w:val="23.0"/>
          <w:szCs w:val="23.0"/>
          <w:color w:val="2E2E2E"/>
        </w:rPr>
        <w:t xml:space="preserve">5.2 Managerial implications</w:t>
      </w:r>
    </w:p>
    <w:p>
      <w:pPr>
        <w:spacing w:before="0" w:after="140" w:line="288" w:lineRule="auto"/>
        <w:jc w:val="both"/>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This aligns with the growing demand for explainability in AI-based security decision support [17], where opaque, black-box recommendations are a barrier to adoption. (iii) The gains are economically material — a 7.5% increase in realized risk reduction and a return on security investment rising to 145% — achieved purely by reallocating a fixed budget, requiring no additional spend. As enterprises accelerate their digital transformation and the attack surface widens accordingly [18], such budget-efficient, interaction-aware prioritization becomes increasingly valuable.</w:t>
      </w:r>
    </w:p>
    <w:p>
      <w:pPr>
        <w:spacing w:before="160" w:after="80" w:line="276" w:lineRule="auto"/>
        <w:keepNext/>
      </w:pPr>
      <w:r>
        <w:rPr>
          <w:b/>
          <w:sz w:val="23.0"/>
          <w:szCs w:val="23.0"/>
          <w:color w:val="2E2E2E"/>
        </w:rPr>
        <w:t xml:space="preserve">5.3 Limitations and future work</w:t>
      </w:r>
    </w:p>
    <w:p>
      <w:pPr>
        <w:spacing w:before="0" w:after="140" w:line="288" w:lineRule="auto"/>
        <w:jc w:val="both"/>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[24] to support independent replication and extension.</w:t>
      </w:r>
    </w:p>
    <w:p>
      <w:pPr>
        <w:spacing w:before="160" w:after="80" w:line="276" w:lineRule="auto"/>
        <w:keepNext/>
      </w:pPr>
      <w:r>
        <w:rPr>
          <w:b/>
          <w:sz w:val="23.0"/>
          <w:szCs w:val="23.0"/>
          <w:color w:val="2E2E2E"/>
        </w:rPr>
        <w:t xml:space="preserve">5.4 Conclusion</w:t>
      </w:r>
    </w:p>
    <w:p>
      <w:pPr>
        <w:spacing w:before="0" w:after="140" w:line="288" w:lineRule="auto"/>
        <w:jc w:val="both"/>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before="240" w:after="100" w:line="276" w:lineRule="auto"/>
        <w:keepNext/>
      </w:pPr>
      <w:r>
        <w:rPr>
          <w:b/>
          <w:sz w:val="27.0"/>
          <w:szCs w:val="27.0"/>
          <w:color w:val="1F4E79"/>
        </w:rPr>
        <w:t xml:space="preserve">Declaration of competing interests</w:t>
      </w:r>
    </w:p>
    <w:p>
      <w:pPr>
        <w:spacing w:before="0" w:after="140" w:line="288" w:lineRule="auto"/>
        <w:jc w:val="both"/>
      </w:pPr>
      <w:r>
        <w:rPr>
          <w:sz w:val="22"/>
          <w:szCs w:val="22"/>
        </w:rPr>
        <w:t xml:space="preserve">The author declares no competing interests.</w:t>
      </w:r>
    </w:p>
    <w:p>
      <w:pPr>
        <w:spacing w:before="240" w:after="100" w:line="276" w:lineRule="auto"/>
        <w:keepNext/>
      </w:pPr>
      <w:r>
        <w:rPr>
          <w:b/>
          <w:sz w:val="27.0"/>
          <w:szCs w:val="27.0"/>
          <w:color w:val="1F4E79"/>
        </w:rPr>
        <w:t xml:space="preserve">Funding</w:t>
      </w:r>
    </w:p>
    <w:p>
      <w:pPr>
        <w:spacing w:before="0" w:after="140" w:line="288" w:lineRule="auto"/>
        <w:jc w:val="both"/>
      </w:pPr>
      <w:r>
        <w:rPr>
          <w:sz w:val="22"/>
          <w:szCs w:val="22"/>
        </w:rPr>
        <w:t xml:space="preserve">This research did not receive any specific grant from funding agencies in the public, commercial, or not-for-profit sectors.</w:t>
      </w:r>
    </w:p>
    <w:p>
      <w:pPr>
        <w:spacing w:before="240" w:after="100" w:line="276" w:lineRule="auto"/>
        <w:keepNext/>
      </w:pPr>
      <w:r>
        <w:rPr>
          <w:b/>
          <w:sz w:val="27.0"/>
          <w:szCs w:val="27.0"/>
          <w:color w:val="1F4E79"/>
        </w:rPr>
        <w:t xml:space="preserve">CRediT author statement</w:t>
      </w:r>
    </w:p>
    <w:p>
      <w:pPr>
        <w:spacing w:before="0" w:after="140" w:line="288" w:lineRule="auto"/>
        <w:jc w:val="both"/>
      </w:pPr>
      <w:r>
        <w:rPr>
          <w:b/>
          <w:sz w:val="22"/>
          <w:szCs w:val="22"/>
        </w:rPr>
        <w:t xml:space="preserve">Ashok Kumar Sailla:</w:t>
      </w:r>
      <w:r>
        <w:rPr>
          <w:sz w:val="22"/>
          <w:szCs w:val="22"/>
        </w:rPr>
        <w:t xml:space="preserve"> Conceptualization, Methodology, Software, Formal analysis, Investigation, Writing – original draft, Writing – review and editing, Visualization.</w:t>
      </w:r>
    </w:p>
    <w:p>
      <w:pPr>
        <w:spacing w:before="240" w:after="100" w:line="276" w:lineRule="auto"/>
        <w:keepNext/>
      </w:pPr>
      <w:r>
        <w:rPr>
          <w:b/>
          <w:sz w:val="27.0"/>
          <w:szCs w:val="27.0"/>
          <w:color w:val="1F4E79"/>
        </w:rPr>
        <w:t xml:space="preserve">Data availability</w:t>
      </w:r>
    </w:p>
    <w:p>
      <w:pPr>
        <w:spacing w:before="0" w:after="140" w:line="288" w:lineRule="auto"/>
        <w:jc w:val="both"/>
      </w:pPr>
      <w:r>
        <w:rPr>
          <w:sz w:val="22"/>
          <w:szCs w:val="22"/>
        </w:rPr>
        <w:t xml:space="preserve">The study uses a fully reproducible synthetic dataset generated by the released software (fixed random seed). All code, generated data, figures, and tables are available in the public repository cited as software reference [24].</w:t>
      </w:r>
    </w:p>
    <w:p>
      <w:pPr>
        <w:spacing w:before="240" w:after="100" w:line="276" w:lineRule="auto"/>
        <w:keepNext/>
      </w:pPr>
      <w:r>
        <w:rPr>
          <w:b/>
          <w:sz w:val="27.0"/>
          <w:szCs w:val="27.0"/>
          <w:color w:val="1F4E79"/>
        </w:rPr>
        <w:t xml:space="preserve">Declaration of generative AI and AI-assisted technologies in the manuscript preparation process</w:t>
      </w:r>
    </w:p>
    <w:p>
      <w:pPr>
        <w:spacing w:before="0" w:after="140" w:line="288" w:lineRule="auto"/>
        <w:jc w:val="both"/>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before="240" w:after="100" w:line="276" w:lineRule="auto"/>
        <w:keepNext/>
      </w:pPr>
      <w:r>
        <w:rPr>
          <w:b/>
          <w:sz w:val="27.0"/>
          <w:szCs w:val="27.0"/>
          <w:color w:val="1F4E79"/>
        </w:rPr>
        <w:t xml:space="preserve">References</w:t>
      </w:r>
    </w:p>
    <w:p>
      <w:pPr>
        <w:spacing w:before="0" w:after="140" w:line="288" w:lineRule="auto"/>
        <w:jc w:val="both"/>
      </w:pPr>
      <w:r>
        <w:rPr>
          <w:sz w:val="22"/>
          <w:szCs w:val="22"/>
        </w:rPr>
        <w:t xml:space="preserve">[1] M. Albanese, I. Iganibo, O. Adebiyi, A framework for designing vulnerability metrics, Comput. Secur. 132 (2023) 103382. https://doi.org/10.1016/j.cose.2023.103382.</w:t>
      </w:r>
    </w:p>
    <w:p>
      <w:pPr>
        <w:spacing w:before="0" w:after="140" w:line="288" w:lineRule="auto"/>
        <w:jc w:val="both"/>
      </w:pPr>
      <w:r>
        <w:rPr>
          <w:sz w:val="22"/>
          <w:szCs w:val="22"/>
        </w:rPr>
        <w:t xml:space="preserve">[2] A. Marcelli, et al., Solving transport infrastructure investment project selection and scheduling using genetic algorithms, Mathematics 12 (2024) 3056. https://doi.org/10.3390/math12193056.</w:t>
      </w:r>
    </w:p>
    <w:p>
      <w:pPr>
        <w:spacing w:before="0" w:after="140" w:line="288" w:lineRule="auto"/>
        <w:jc w:val="both"/>
      </w:pPr>
      <w:r>
        <w:rPr>
          <w:sz w:val="22"/>
          <w:szCs w:val="22"/>
        </w:rPr>
        <w:t xml:space="preserve">[3] J. Jeong, A. Mbakwe, et al., Cybersecurity capabilities and cyber-attacks as drivers of investment in cybersecurity systems: a UK survey for 2018 and 2019, Comput. Secur. 124 (2023) 102954. https://doi.org/10.1016/j.cose.2022.102954.</w:t>
      </w:r>
    </w:p>
    <w:p>
      <w:pPr>
        <w:spacing w:before="0" w:after="140" w:line="288" w:lineRule="auto"/>
        <w:jc w:val="both"/>
      </w:pPr>
      <w:r>
        <w:rPr>
          <w:sz w:val="22"/>
          <w:szCs w:val="22"/>
        </w:rPr>
        <w:t xml:space="preserve">[4] A. Mohammadi, M. Pavlidis, H. Mouratidis, A knowledge-based approach for information security risk assessment, Knowl.-Based Syst. 210 (2020) 106448. https://doi.org/10.1016/j.knosys.2020.106448.</w:t>
      </w:r>
    </w:p>
    <w:p>
      <w:pPr>
        <w:spacing w:before="0" w:after="140" w:line="288" w:lineRule="auto"/>
        <w:jc w:val="both"/>
      </w:pPr>
      <w:r>
        <w:rPr>
          <w:sz w:val="22"/>
          <w:szCs w:val="22"/>
        </w:rPr>
        <w:t xml:space="preserve">[5] K.-H. Han, J.-H. Kim, Quantum-inspired evolutionary algorithm for a class of combinatorial optimization, IEEE Trans. Evol. Comput. 6 (2002) 580–593. https://doi.org/10.1109/TEVC.2002.804320.</w:t>
      </w:r>
    </w:p>
    <w:p>
      <w:pPr>
        <w:spacing w:before="0" w:after="140" w:line="288" w:lineRule="auto"/>
        <w:jc w:val="both"/>
      </w:pPr>
      <w:r>
        <w:rPr>
          <w:sz w:val="22"/>
          <w:szCs w:val="22"/>
        </w:rPr>
        <w:t xml:space="preserve">[6] Y. Wang, et al., Quantum-inspired differential evolution with grey wolf optimizer for 0-1 knapsack problem, Mathematics 9 (2021) 1233. https://doi.org/10.3390/math9111233.</w:t>
      </w:r>
    </w:p>
    <w:p>
      <w:pPr>
        <w:spacing w:before="0" w:after="140" w:line="288" w:lineRule="auto"/>
        <w:jc w:val="both"/>
      </w:pPr>
      <w:r>
        <w:rPr>
          <w:sz w:val="22"/>
          <w:szCs w:val="22"/>
        </w:rPr>
        <w:t xml:space="preserve">[7] R. Kumar, et al., A knowledge-based integrated system of hesitant fuzzy set, AHP and TOPSIS for evaluating security–durability of web applications, IEEE Access 8 (2020) 48870–48885. https://doi.org/10.1109/ACCESS.2020.2978038.</w:t>
      </w:r>
    </w:p>
    <w:p>
      <w:pPr>
        <w:spacing w:before="0" w:after="140" w:line="288" w:lineRule="auto"/>
        <w:jc w:val="both"/>
      </w:pPr>
      <w:r>
        <w:rPr>
          <w:sz w:val="22"/>
          <w:szCs w:val="22"/>
        </w:rPr>
        <w:t xml:space="preserve">[8] E. Altulaihan, M.A. Almaiah, A. Aljughaiman, Anomaly detection IDS for detecting DoS attacks in IoT networks based on machine learning algorithms, Sensors 24 (2024) 713. https://doi.org/10.3390/s24020713.</w:t>
      </w:r>
    </w:p>
    <w:p>
      <w:pPr>
        <w:spacing w:before="0" w:after="140" w:line="288" w:lineRule="auto"/>
        <w:jc w:val="both"/>
      </w:pPr>
      <w:r>
        <w:rPr>
          <w:sz w:val="22"/>
          <w:szCs w:val="22"/>
        </w:rPr>
        <w:t xml:space="preserve">[9] M. Almars, F. Alharbi, E. Atlam, I. Mahgoub, Machine learning-based security solutions for IoT networks: a comprehensive survey, Sensors 25 (2025) 3341. https://doi.org/10.3390/s25113341.</w:t>
      </w:r>
    </w:p>
    <w:p>
      <w:pPr>
        <w:spacing w:before="0" w:after="140" w:line="288" w:lineRule="auto"/>
        <w:jc w:val="both"/>
      </w:pPr>
      <w:r>
        <w:rPr>
          <w:sz w:val="22"/>
          <w:szCs w:val="22"/>
        </w:rPr>
        <w:t xml:space="preserve">[10] E. Gyamfi, et al., Evaluating ensemble learning models for intrusion detection in the Internet of Medical Things, Sensors 24 (2024) 5937. https://doi.org/10.3390/s24185937.</w:t>
      </w:r>
    </w:p>
    <w:p>
      <w:pPr>
        <w:spacing w:before="0" w:after="140" w:line="288" w:lineRule="auto"/>
        <w:jc w:val="both"/>
      </w:pPr>
      <w:r>
        <w:rPr>
          <w:sz w:val="22"/>
          <w:szCs w:val="22"/>
        </w:rPr>
        <w:t xml:space="preserve">[11] G. Folino, et al., Comprehensive analysis and evaluation of anomalous user activity in web server logs, Sensors 24 (2024) 746. https://doi.org/10.3390/s24030746.</w:t>
      </w:r>
    </w:p>
    <w:p>
      <w:pPr>
        <w:spacing w:before="0" w:after="140" w:line="288" w:lineRule="auto"/>
        <w:jc w:val="both"/>
      </w:pPr>
      <w:r>
        <w:rPr>
          <w:sz w:val="22"/>
          <w:szCs w:val="22"/>
        </w:rPr>
        <w:t xml:space="preserve">[12] Á. Michelena, et al., Design and evaluation of unsupervised machine learning models for anomaly detection in streaming cybersecurity logs, Mathematics 10 (2022) 4043. https://doi.org/10.3390/math10214043.</w:t>
      </w:r>
    </w:p>
    <w:p>
      <w:pPr>
        <w:spacing w:before="0" w:after="140" w:line="288" w:lineRule="auto"/>
        <w:jc w:val="both"/>
      </w:pPr>
      <w:r>
        <w:rPr>
          <w:sz w:val="22"/>
          <w:szCs w:val="22"/>
        </w:rPr>
        <w:t xml:space="preserve">[13] L.A. Zadeh, Fuzzy sets, Inf. Control 8 (1965) 338–353. https://doi.org/10.1016/S0019-9958(65)90241-X.</w:t>
      </w:r>
    </w:p>
    <w:p>
      <w:pPr>
        <w:spacing w:before="0" w:after="140" w:line="288" w:lineRule="auto"/>
        <w:jc w:val="both"/>
      </w:pPr>
      <w:r>
        <w:rPr>
          <w:sz w:val="22"/>
          <w:szCs w:val="22"/>
        </w:rPr>
        <w:t xml:space="preserve">[14] C. Çalı, et al., Intuitionistic fuzzy sets with ordered pairs and their usage in multi-attribute decision making: a novel intuitionistic fuzzy TOPSIS method, Mathematics 11 (2023) 3867. https://doi.org/10.3390/math11183867.</w:t>
      </w:r>
    </w:p>
    <w:p>
      <w:pPr>
        <w:spacing w:before="0" w:after="140" w:line="288" w:lineRule="auto"/>
        <w:jc w:val="both"/>
      </w:pPr>
      <w:r>
        <w:rPr>
          <w:sz w:val="22"/>
          <w:szCs w:val="22"/>
        </w:rPr>
        <w:t xml:space="preserve">[15] M.T.J. Ansari, et al., A fuzzy-based unified decision-making technique to evaluate security risks: a healthcare perspective, Mathematics 11 (2023) 2554. https://doi.org/10.3390/math11112554.</w:t>
      </w:r>
    </w:p>
    <w:p>
      <w:pPr>
        <w:spacing w:before="0" w:after="140" w:line="288" w:lineRule="auto"/>
        <w:jc w:val="both"/>
      </w:pPr>
      <w:r>
        <w:rPr>
          <w:sz w:val="22"/>
          <w:szCs w:val="22"/>
        </w:rPr>
        <w:t xml:space="preserve">[16] V. Bolgova, et al., Fuzzy logic and its application in the assessment of information security risk of industrial Internet of Things, Symmetry 15 (2023) 1958. https://doi.org/10.3390/sym15101958.</w:t>
      </w:r>
    </w:p>
    <w:p>
      <w:pPr>
        <w:spacing w:before="0" w:after="140" w:line="288" w:lineRule="auto"/>
        <w:jc w:val="both"/>
      </w:pPr>
      <w:r>
        <w:rPr>
          <w:sz w:val="22"/>
          <w:szCs w:val="22"/>
        </w:rPr>
        <w:t xml:space="preserve">[17] F. Ullah, et al., An intrusion detection system over the IoT data streams using eXplainable artificial intelligence (XAI), Sensors 25 (2025) 847. https://doi.org/10.3390/s25030847.</w:t>
      </w:r>
    </w:p>
    <w:p>
      <w:pPr>
        <w:spacing w:before="0" w:after="140" w:line="288" w:lineRule="auto"/>
        <w:jc w:val="both"/>
      </w:pPr>
      <w:r>
        <w:rPr>
          <w:sz w:val="22"/>
          <w:szCs w:val="22"/>
        </w:rPr>
        <w:t xml:space="preserve">[18] S. Teng, et al., A synthetic review on enterprise digital transformation: a bibliometric analysis, Sustainability 16 (2024) 1836. https://doi.org/10.3390/su16051836.</w:t>
      </w:r>
    </w:p>
    <w:p>
      <w:pPr>
        <w:spacing w:before="0" w:after="140" w:line="288" w:lineRule="auto"/>
        <w:jc w:val="both"/>
      </w:pPr>
      <w:r>
        <w:rPr>
          <w:sz w:val="22"/>
          <w:szCs w:val="22"/>
        </w:rPr>
        <w:t xml:space="preserve">[19] Z. Zhang, et al., MOQEA/D: multi-objective QEA with decomposition mechanism and excellent global search and its application, IEEE Trans. Intell. Transp. Syst. 25 (2024) 12456–12470. https://doi.org/10.1109/TITS.2024.3373510.</w:t>
      </w:r>
    </w:p>
    <w:p>
      <w:pPr>
        <w:spacing w:before="0" w:after="140" w:line="288" w:lineRule="auto"/>
        <w:jc w:val="both"/>
      </w:pPr>
      <w:r>
        <w:rPr>
          <w:sz w:val="22"/>
          <w:szCs w:val="22"/>
        </w:rPr>
        <w:t xml:space="preserve">[20] A. Dey, S. Bhattacharyya, S. Dey, D. Konar, J. Platoš, V. Snášel, L. Mrsic, P. Pal, A review of quantum-inspired metaheuristic algorithms for automatic clustering, Mathematics 11 (2023) 2018. https://doi.org/10.3390/math11092018.</w:t>
      </w:r>
    </w:p>
    <w:p>
      <w:pPr>
        <w:spacing w:before="0" w:after="140" w:line="288" w:lineRule="auto"/>
        <w:jc w:val="both"/>
      </w:pPr>
      <w:r>
        <w:rPr>
          <w:sz w:val="22"/>
          <w:szCs w:val="22"/>
        </w:rPr>
        <w:t xml:space="preserve">[21] P.K. Gupta, et al., Portfolio optimization problem: a taxonomic review of solution methodologies, IEEE Access 11 (2023) 33100–33120. https://doi.org/10.1109/ACCESS.2023.3263198.</w:t>
      </w:r>
    </w:p>
    <w:p>
      <w:pPr>
        <w:spacing w:before="0" w:after="140" w:line="288" w:lineRule="auto"/>
        <w:jc w:val="both"/>
      </w:pPr>
      <w:r>
        <w:rPr>
          <w:sz w:val="22"/>
          <w:szCs w:val="22"/>
        </w:rPr>
        <w:t xml:space="preserve">[22] M. Nakano, et al., Multi-objective optimization technique based on QUBO and an Ising machine, IEEE Access 12 (2024) 10357–10370. https://doi.org/10.1109/ACCESS.2024.3353194.</w:t>
      </w:r>
    </w:p>
    <w:p>
      <w:pPr>
        <w:spacing w:before="0" w:after="140" w:line="288" w:lineRule="auto"/>
        <w:jc w:val="both"/>
      </w:pPr>
      <w:r>
        <w:rPr>
          <w:sz w:val="22"/>
          <w:szCs w:val="22"/>
        </w:rPr>
        <w:t xml:space="preserve">[23] A. Diaba, et al., Deep anomaly detection framework utilizing federated learning for electricity theft zero-day cyberattacks, Sensors 24 (2024) 3236. https://doi.org/10.3390/s24103236.</w:t>
      </w:r>
    </w:p>
    <w:p>
      <w:pPr>
        <w:spacing w:before="0" w:after="140" w:line="288" w:lineRule="auto"/>
        <w:jc w:val="both"/>
      </w:pPr>
      <w:r>
        <w:rPr>
          <w:sz w:val="22"/>
          <w:szCs w:val="22"/>
        </w:rPr>
        <w:t xml:space="preserve">[24] A.K. Sailla, QAI-CIP: Quantum-Inspired AI for Cybersecurity Investment Prioritization [software], GitHub, 2026. https://github.com/AshokPrjcts/Journal/tree/main/qai-cyber-investment.</w:t>
      </w:r>
    </w:p>
    <w:sectPr>
      <w:pgSz w:w="11906" w:h="16838"/>
      <w:pgMar w:top="1440" w:right="1418" w:bottom="1440" w:left="1418"/>
    </w:sectPr>
  </w:body>
</w:document>
</file>

<file path=word/styles.xml><?xml version="1.0" encoding="utf-8"?>
<w:styles xmlns:w="http://schemas.openxmlformats.org/wordprocessingml/2006/main">
  <w:docDefaults>
    <w:rPrDefault>
      <w:rPr>
        <w:rFonts w:ascii="Cambria" w:hAnsi="Cambria" w:cs="Cambria"/>
        <w:sz w:val="22"/>
        <w:szCs w:val="22"/>
        <w:color w:val="1A1A1A"/>
      </w:rPr>
    </w:rPrDefault>
    <w:pPrDefault>
      <w:pPr>
        <w:spacing w:after="140" w:line="288"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s>
</file>