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40"/>
          <w:szCs w:val="40"/>
        </w:rPr>
      </w:pPr>
      <w:r>
        <w:rPr>
          <w:b/>
          <w:bCs/>
          <w:sz w:val="40"/>
          <w:szCs w:val="40"/>
        </w:rPr>
        <w:t xml:space="preserve">Data Strategy for BrightSmile Dental Group Ltd </w:t>
      </w:r>
    </w:p>
    <w:p>
      <w:pPr>
        <w:pStyle w:val="Normal"/>
        <w:bidi w:val="0"/>
        <w:jc w:val="start"/>
        <w:rPr>
          <w:sz w:val="40"/>
          <w:szCs w:val="40"/>
        </w:rPr>
      </w:pPr>
      <w:r>
        <w:rPr>
          <w:b/>
          <w:bCs/>
          <w:sz w:val="40"/>
          <w:szCs w:val="40"/>
        </w:rPr>
        <w:t>CSC9D6 Assignment – 3115875</w:t>
      </w:r>
    </w:p>
    <w:p>
      <w:pPr>
        <w:pStyle w:val="Normal"/>
        <w:bidi w:val="0"/>
        <w:jc w:val="start"/>
        <w:rPr>
          <w:sz w:val="40"/>
          <w:szCs w:val="40"/>
        </w:rPr>
      </w:pPr>
      <w:r>
        <w:rPr>
          <w:sz w:val="40"/>
          <w:szCs w:val="40"/>
        </w:rPr>
      </w:r>
    </w:p>
    <w:p>
      <w:pPr>
        <w:pStyle w:val="Normal"/>
        <w:bidi w:val="0"/>
        <w:jc w:val="start"/>
        <w:rPr>
          <w:sz w:val="40"/>
          <w:szCs w:val="40"/>
        </w:rPr>
      </w:pPr>
      <w:r>
        <w:rPr>
          <w:b/>
          <w:bCs/>
          <w:sz w:val="40"/>
          <w:szCs w:val="40"/>
        </w:rPr>
        <w:t>Word Count: 382</w:t>
      </w:r>
      <w:r>
        <w:rPr>
          <w:b/>
          <w:bCs/>
          <w:sz w:val="40"/>
          <w:szCs w:val="40"/>
        </w:rPr>
        <w:t>9</w:t>
      </w:r>
    </w:p>
    <w:p>
      <w:pPr>
        <w:pStyle w:val="Normal"/>
        <w:bidi w:val="0"/>
        <w:jc w:val="start"/>
        <w:rPr>
          <w:b/>
          <w:bCs/>
        </w:rPr>
      </w:pPr>
      <w:r>
        <w:rPr>
          <w:b/>
          <w:bCs/>
        </w:rPr>
      </w:r>
    </w:p>
    <w:p>
      <w:pPr>
        <w:pStyle w:val="Normal"/>
        <w:bidi w:val="0"/>
        <w:jc w:val="start"/>
        <w:rPr>
          <w:sz w:val="36"/>
          <w:szCs w:val="36"/>
        </w:rPr>
      </w:pPr>
      <w:r>
        <w:rPr>
          <w:b/>
          <w:bCs/>
          <w:sz w:val="36"/>
          <w:szCs w:val="36"/>
        </w:rPr>
        <w:t>Executive Summary</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Dental Group Ltd is a growing dental care provider operating twelve clinics across England and Wales, delivering NHS and private dental services. It processes personal and special category health data for approximately 28,000 active patients alongside operational, financial, and employee records. Rapid expansion has increased both the value of its data and the risks associated with handling it incorrectly.</w:t>
      </w:r>
    </w:p>
    <w:p>
      <w:pPr>
        <w:pStyle w:val="Normal"/>
        <w:bidi w:val="0"/>
        <w:jc w:val="start"/>
        <w:rPr>
          <w:sz w:val="24"/>
          <w:szCs w:val="24"/>
        </w:rPr>
      </w:pPr>
      <w:r>
        <w:rPr>
          <w:sz w:val="24"/>
          <w:szCs w:val="24"/>
        </w:rPr>
      </w:r>
    </w:p>
    <w:p>
      <w:pPr>
        <w:pStyle w:val="Normal"/>
        <w:bidi w:val="0"/>
        <w:jc w:val="start"/>
        <w:rPr>
          <w:sz w:val="24"/>
          <w:szCs w:val="24"/>
        </w:rPr>
      </w:pPr>
      <w:r>
        <w:rPr>
          <w:sz w:val="24"/>
          <w:szCs w:val="24"/>
        </w:rPr>
        <w:t>A comprehensive review of data governance, security, compliance, and utilisation was conducted across four representative clinics through staff interviews, system inspections, review of patient documentation, and observation of administrative procedures. The audit found basic protections in place, such as firewalls, role-restricted clinical record access, and patient privacy notices. However, a consistent absence of formal governance structures was identified. The organisation maintains no Record of Processing Activities, has no documented retention schedule, shares login credentials at some sites, has no breach reporting procedure, and has not produced written data processing agreements for all third-party processors. Responsibility for data is distributed informally, meaning compliance depends on individual behaviour rather than organisational policy.</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is also significantly underutilised. It is used primarily for treatment and administration rather than operational planning or service improvement, despite the availability of appointment, treatment history, and operational data that could support predictive analytics and better resource planning and deployment.</w:t>
      </w:r>
    </w:p>
    <w:p>
      <w:pPr>
        <w:pStyle w:val="Normal"/>
        <w:bidi w:val="0"/>
        <w:jc w:val="start"/>
        <w:rPr>
          <w:sz w:val="24"/>
          <w:szCs w:val="24"/>
        </w:rPr>
      </w:pPr>
      <w:r>
        <w:rPr>
          <w:sz w:val="24"/>
          <w:szCs w:val="24"/>
        </w:rPr>
      </w:r>
    </w:p>
    <w:p>
      <w:pPr>
        <w:pStyle w:val="Normal"/>
        <w:bidi w:val="0"/>
        <w:jc w:val="start"/>
        <w:rPr>
          <w:sz w:val="24"/>
          <w:szCs w:val="24"/>
        </w:rPr>
      </w:pPr>
      <w:r>
        <w:rPr>
          <w:sz w:val="24"/>
          <w:szCs w:val="24"/>
        </w:rPr>
        <w:t>This strategy recommends introducing centralised governance, defined data roles, targeted staff training, and a unified practice management system. These measures will support compliance with the UK GDPR and Data Protection Act 2018 while enabling the organisation to use data safely and effectively as it continues to grow. The overarching goal is to move from a position where data protection depends on individual good intentions to one where it is embedded in documented processes, technology, and organisational culture.</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A data audit was conducted to establish what data BrightSmile holds, where it is stored, who can access it, and how it is used. Without this foundation an organisation cannot ensure security, demonstrate compliance, or make reliable data-driven decisions. The audit covered four clinics over four weeks using a combination of staff interviews, review of registration forms and patient communications, inspection of IT systems and network arrangements, and direct observation of daily administrative workflows.</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enters the organisation through telephone bookings, online forms, and in-person registration, and is subsequently shared with dental laboratories, NHS reporting systems, and payment processors. No formal Record of Processing Activities is maintained, and staff understanding of retention requirements varies between sites. This is not merely a documentation gap. Without a complete map of data flows, BrightSmile can’t identify which third parties require written processor agreements under Article 28, as well as defining appropriate retention periods, and can’t respond adequately to an ICO investigation following a breach.</w:t>
      </w:r>
    </w:p>
    <w:p>
      <w:pPr>
        <w:pStyle w:val="Normal"/>
        <w:bidi w:val="0"/>
        <w:jc w:val="start"/>
        <w:rPr>
          <w:sz w:val="24"/>
          <w:szCs w:val="24"/>
        </w:rPr>
      </w:pPr>
      <w:r>
        <w:rPr>
          <w:sz w:val="24"/>
          <w:szCs w:val="24"/>
        </w:rPr>
      </w:r>
    </w:p>
    <w:p>
      <w:pPr>
        <w:pStyle w:val="Normal"/>
        <w:bidi w:val="0"/>
        <w:jc w:val="start"/>
        <w:rPr>
          <w:sz w:val="24"/>
          <w:szCs w:val="24"/>
        </w:rPr>
      </w:pPr>
      <w:r>
        <w:rPr>
          <w:sz w:val="24"/>
          <w:szCs w:val="24"/>
        </w:rPr>
        <w:t>Several reception staff maintain local spreadsheets of patient contact details outside the central system to manage appointment reminders. These represent feral data, meaning records that have escaped controlled storage and are no longer subject to the same access controls, audit logging, or deletion schedules as data held within the practice management system. Their existence means the organisation cannot provide a complete account of what personal data it holds, which directly undermines the accountability principle under UK GDPR Article 5(2). If a patient submitted a Subject Access Request today, the organisation could not be confident that its response captured every record held about that individual. The audit concluded that data processing is operationally necessary but insufficiently documented and governed.</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Assets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audit identified six categories of data asset across the organisation. Their significance varies considerably, some are routine administrative records, while others, particularly special category health data, carry the highest level of regulatory obligation and the greatest potential for harm if mishandled. Data assets were classified by regulatory sensitivity and potential impact of a breach, reflecting common data classification frameworks used in healthcare environments.</w:t>
      </w:r>
    </w:p>
    <w:p>
      <w:pPr>
        <w:pStyle w:val="Normal"/>
        <w:bidi w:val="0"/>
        <w:jc w:val="start"/>
        <w:rPr>
          <w:sz w:val="24"/>
          <w:szCs w:val="24"/>
        </w:rPr>
      </w:pPr>
      <w:r>
        <w:rPr>
          <w:sz w:val="24"/>
          <w:szCs w:val="24"/>
        </w:rPr>
      </w:r>
    </w:p>
    <w:p>
      <w:pPr>
        <w:pStyle w:val="Normal"/>
        <w:bidi w:val="0"/>
        <w:jc w:val="start"/>
        <w:rPr/>
      </w:pPr>
      <w:r>
        <w:rPr>
          <w:b/>
          <w:bCs/>
          <w:sz w:val="24"/>
          <w:szCs w:val="24"/>
        </w:rPr>
        <w:t xml:space="preserve">Patient Personal Data (Medium Risk): </w:t>
      </w:r>
      <w:r>
        <w:rPr>
          <w:b w:val="false"/>
          <w:bCs w:val="false"/>
          <w:sz w:val="24"/>
          <w:szCs w:val="24"/>
        </w:rPr>
        <w:t>The organisation collects core identifying information including name, address, telephone number, email address, and date of birth. NHS patients also have their NHS number recorded. This data allows the organisation to identify patients, schedule appointments, and communicate with them.</w:t>
      </w:r>
    </w:p>
    <w:p>
      <w:pPr>
        <w:pStyle w:val="Normal"/>
        <w:bidi w:val="0"/>
        <w:jc w:val="start"/>
        <w:rPr>
          <w:sz w:val="24"/>
          <w:szCs w:val="24"/>
        </w:rPr>
      </w:pPr>
      <w:r>
        <w:rPr>
          <w:sz w:val="24"/>
          <w:szCs w:val="24"/>
        </w:rPr>
      </w:r>
    </w:p>
    <w:p>
      <w:pPr>
        <w:pStyle w:val="Normal"/>
        <w:bidi w:val="0"/>
        <w:jc w:val="start"/>
        <w:rPr/>
      </w:pPr>
      <w:r>
        <w:rPr>
          <w:b/>
          <w:bCs/>
          <w:sz w:val="24"/>
          <w:szCs w:val="24"/>
        </w:rPr>
        <w:t xml:space="preserve">Special Category Health Data (High Risk): </w:t>
      </w:r>
      <w:r>
        <w:rPr>
          <w:b w:val="false"/>
          <w:bCs w:val="false"/>
          <w:sz w:val="24"/>
          <w:szCs w:val="24"/>
        </w:rPr>
        <w:t>As a healthcare provider, BrightSmile processes highly sensitive health information including medical history, medications, allergies, examination findings, and clinical notes, all subject to heightened obligations under UK GDPR Article 9. This is the most legally significant data category the organisation holds, and a breach or misuse carries both direct harm to patients and serious regulatory consequences.</w:t>
      </w:r>
    </w:p>
    <w:p>
      <w:pPr>
        <w:pStyle w:val="Normal"/>
        <w:bidi w:val="0"/>
        <w:jc w:val="start"/>
        <w:rPr>
          <w:sz w:val="24"/>
          <w:szCs w:val="24"/>
        </w:rPr>
      </w:pPr>
      <w:r>
        <w:rPr>
          <w:sz w:val="24"/>
          <w:szCs w:val="24"/>
        </w:rPr>
      </w:r>
    </w:p>
    <w:p>
      <w:pPr>
        <w:pStyle w:val="Normal"/>
        <w:bidi w:val="0"/>
        <w:jc w:val="start"/>
        <w:rPr/>
      </w:pPr>
      <w:r>
        <w:rPr>
          <w:b/>
          <w:bCs/>
          <w:sz w:val="24"/>
          <w:szCs w:val="24"/>
        </w:rPr>
        <w:t xml:space="preserve">Dental Imaging Data (High Risk): </w:t>
      </w:r>
      <w:r>
        <w:rPr>
          <w:b w:val="false"/>
          <w:bCs w:val="false"/>
          <w:sz w:val="24"/>
          <w:szCs w:val="24"/>
        </w:rPr>
        <w:t>Clinics collect digital radiographs and intra-oral photographs stored on local imaging servers and shared with dental laboratories. These files are large, clinically urgent, and frequently needed across treatment rooms, which explains why USB transfer workarounds have become normalised despite the security risks they introduce.</w:t>
      </w:r>
    </w:p>
    <w:p>
      <w:pPr>
        <w:pStyle w:val="Normal"/>
        <w:bidi w:val="0"/>
        <w:jc w:val="start"/>
        <w:rPr>
          <w:sz w:val="24"/>
          <w:szCs w:val="24"/>
        </w:rPr>
      </w:pPr>
      <w:r>
        <w:rPr>
          <w:sz w:val="24"/>
          <w:szCs w:val="24"/>
        </w:rPr>
      </w:r>
    </w:p>
    <w:p>
      <w:pPr>
        <w:pStyle w:val="Normal"/>
        <w:bidi w:val="0"/>
        <w:jc w:val="start"/>
        <w:rPr/>
      </w:pPr>
      <w:r>
        <w:rPr>
          <w:b/>
          <w:bCs/>
          <w:sz w:val="24"/>
          <w:szCs w:val="24"/>
        </w:rPr>
        <w:t xml:space="preserve">Appointment and Operational Data (Medium Risk): </w:t>
      </w:r>
      <w:r>
        <w:rPr>
          <w:b w:val="false"/>
          <w:bCs w:val="false"/>
          <w:sz w:val="24"/>
          <w:szCs w:val="24"/>
        </w:rPr>
        <w:t>Administrative systems record appointments, cancellations, waiting lists, automated reminders, and missed appointment history. This data has significant untapped analytical value for identifying demand patterns and reducing non-attendance.</w:t>
      </w:r>
    </w:p>
    <w:p>
      <w:pPr>
        <w:pStyle w:val="Normal"/>
        <w:bidi w:val="0"/>
        <w:jc w:val="start"/>
        <w:rPr>
          <w:sz w:val="24"/>
          <w:szCs w:val="24"/>
        </w:rPr>
      </w:pPr>
      <w:r>
        <w:rPr>
          <w:sz w:val="24"/>
          <w:szCs w:val="24"/>
        </w:rPr>
      </w:r>
    </w:p>
    <w:p>
      <w:pPr>
        <w:pStyle w:val="Normal"/>
        <w:bidi w:val="0"/>
        <w:jc w:val="start"/>
        <w:rPr/>
      </w:pPr>
      <w:r>
        <w:rPr>
          <w:b/>
          <w:bCs/>
          <w:sz w:val="24"/>
          <w:szCs w:val="24"/>
        </w:rPr>
        <w:t xml:space="preserve">Financial Data (High Risk): </w:t>
      </w:r>
      <w:r>
        <w:rPr>
          <w:b w:val="false"/>
          <w:bCs w:val="false"/>
          <w:sz w:val="24"/>
          <w:szCs w:val="24"/>
        </w:rPr>
        <w:t>The organisation processes payment records, invoices, and insurance claims. Card payments are handled via third-party processors, but transaction records remain stored within practice systems.</w:t>
      </w:r>
    </w:p>
    <w:p>
      <w:pPr>
        <w:pStyle w:val="Normal"/>
        <w:bidi w:val="0"/>
        <w:jc w:val="start"/>
        <w:rPr>
          <w:sz w:val="24"/>
          <w:szCs w:val="24"/>
        </w:rPr>
      </w:pPr>
      <w:r>
        <w:rPr>
          <w:sz w:val="24"/>
          <w:szCs w:val="24"/>
        </w:rPr>
      </w:r>
    </w:p>
    <w:p>
      <w:pPr>
        <w:pStyle w:val="Normal"/>
        <w:bidi w:val="0"/>
        <w:jc w:val="start"/>
        <w:rPr/>
      </w:pPr>
      <w:r>
        <w:rPr>
          <w:b/>
          <w:bCs/>
          <w:sz w:val="24"/>
          <w:szCs w:val="24"/>
        </w:rPr>
        <w:t xml:space="preserve">Human Resources Data (High Risk): </w:t>
      </w:r>
      <w:r>
        <w:rPr>
          <w:b w:val="false"/>
          <w:bCs w:val="false"/>
          <w:sz w:val="24"/>
          <w:szCs w:val="24"/>
        </w:rPr>
        <w:t>Employee records include contracts, payroll, professional registrations, training certificates, and Disclosure and Barring Service checks.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Key Findings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Key weaknesses included duplicate patient records across clinics, inconsistent naming conventions between systems, locally held spreadsheets outside central systems, and no consistent retention schedule. These issues undermine data quality across its three core dimensions of correctness, completeness, and currency. Reliable decision-making and safe clinical care both depend on records being accurate and up to date, and without a single source of truth the organisation cannot safely rely on its data for operational reporting or service planning.</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Security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security review was structured around the NCSC Cyber Essentials framework, which defines five controls against the most common cyber attacks, firewalls, secure configuration, access control, malware protection, and patch management. Cyber Essentials was selected as it is a government-backed baseline and aligns directly with NHS Digital's Data Security and Protection Toolkit requirements, which apply to BrightSmile as an NHS connected provider.</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Strengths</w:t>
      </w:r>
    </w:p>
    <w:p>
      <w:pPr>
        <w:pStyle w:val="Normal"/>
        <w:bidi w:val="0"/>
        <w:jc w:val="start"/>
        <w:rPr>
          <w:sz w:val="24"/>
          <w:szCs w:val="24"/>
        </w:rPr>
      </w:pPr>
      <w:r>
        <w:rPr>
          <w:sz w:val="24"/>
          <w:szCs w:val="24"/>
        </w:rPr>
      </w:r>
    </w:p>
    <w:p>
      <w:pPr>
        <w:pStyle w:val="Normal"/>
        <w:bidi w:val="0"/>
        <w:jc w:val="start"/>
        <w:rPr>
          <w:sz w:val="24"/>
          <w:szCs w:val="24"/>
        </w:rPr>
      </w:pPr>
      <w:r>
        <w:rPr>
          <w:sz w:val="24"/>
          <w:szCs w:val="24"/>
        </w:rPr>
        <w:t>Hardware firewalls are in place at all twelve sites, antivirus software is centrally managed, and daily encrypted backups are performed to an off-site cloud location. Access to clinical records is restricted by role, dentists and nurses can view and update clinical notes, while reception staff are limited to appointment and contact data. This tiered approach reflects the principle of least privilege and is appropriate for the sensitivity of health data processed under Article 9.</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Weaknesses</w:t>
      </w:r>
    </w:p>
    <w:p>
      <w:pPr>
        <w:pStyle w:val="Normal"/>
        <w:bidi w:val="0"/>
        <w:jc w:val="start"/>
        <w:rPr>
          <w:sz w:val="24"/>
          <w:szCs w:val="24"/>
        </w:rPr>
      </w:pPr>
      <w:r>
        <w:rPr>
          <w:sz w:val="24"/>
          <w:szCs w:val="24"/>
        </w:rPr>
      </w:r>
    </w:p>
    <w:p>
      <w:pPr>
        <w:pStyle w:val="Normal"/>
        <w:bidi w:val="0"/>
        <w:jc w:val="start"/>
        <w:rPr>
          <w:sz w:val="24"/>
          <w:szCs w:val="24"/>
        </w:rPr>
      </w:pPr>
      <w:r>
        <w:rPr>
          <w:sz w:val="24"/>
          <w:szCs w:val="24"/>
        </w:rPr>
        <w:t>At two clinics, reception staff shared a single login for the booking system, removing individual accountability and preventing effective audit logging. This directly violates the Cyber Essentials access control requirement and makes it impossible to identify who was responsible in the event of a breach, which is a serious gap given the ICO's accountability expectations under Article 5(2).</w:t>
      </w:r>
    </w:p>
    <w:p>
      <w:pPr>
        <w:pStyle w:val="Normal"/>
        <w:bidi w:val="0"/>
        <w:jc w:val="start"/>
        <w:rPr>
          <w:sz w:val="24"/>
          <w:szCs w:val="24"/>
        </w:rPr>
      </w:pPr>
      <w:r>
        <w:rPr>
          <w:sz w:val="24"/>
          <w:szCs w:val="24"/>
        </w:rPr>
        <w:t>At three sites, patient-facing Wi-Fi shared the same network segment as clinical workstations, meaning a malicious actor on the guest network could potentially reach imaging servers without further authentication. Cyber Essentials explicitly requires network segregation between untrusted and sensitive systems.</w:t>
      </w:r>
    </w:p>
    <w:p>
      <w:pPr>
        <w:pStyle w:val="Normal"/>
        <w:bidi w:val="0"/>
        <w:jc w:val="start"/>
        <w:rPr>
          <w:sz w:val="24"/>
          <w:szCs w:val="24"/>
        </w:rPr>
      </w:pPr>
      <w:r>
        <w:rPr>
          <w:sz w:val="24"/>
          <w:szCs w:val="24"/>
        </w:rPr>
      </w:r>
    </w:p>
    <w:p>
      <w:pPr>
        <w:pStyle w:val="Normal"/>
        <w:bidi w:val="0"/>
        <w:jc w:val="start"/>
        <w:rPr>
          <w:sz w:val="24"/>
          <w:szCs w:val="24"/>
        </w:rPr>
      </w:pPr>
      <w:r>
        <w:rPr>
          <w:sz w:val="24"/>
          <w:szCs w:val="24"/>
        </w:rPr>
        <w:t>Patch management was inconsistent, several workstations ran dental imaging software that had not received vendor updates for over fourteen months. Delayed patching is a common ransomware entry point. The famous WannaCry attack, which affected a third of NHS trusts and cancelled approximately 19,000 appointments (National Audit Office, 2017), illustrating the scale of disruption this risk carries in clinical settings.</w:t>
      </w:r>
    </w:p>
    <w:p>
      <w:pPr>
        <w:pStyle w:val="Normal"/>
        <w:bidi w:val="0"/>
        <w:jc w:val="start"/>
        <w:rPr>
          <w:sz w:val="24"/>
          <w:szCs w:val="24"/>
        </w:rPr>
      </w:pPr>
      <w:r>
        <w:rPr>
          <w:sz w:val="24"/>
          <w:szCs w:val="24"/>
        </w:rPr>
      </w:r>
    </w:p>
    <w:p>
      <w:pPr>
        <w:pStyle w:val="Normal"/>
        <w:bidi w:val="0"/>
        <w:jc w:val="start"/>
        <w:rPr>
          <w:sz w:val="24"/>
          <w:szCs w:val="24"/>
        </w:rPr>
      </w:pPr>
      <w:r>
        <w:rPr>
          <w:sz w:val="24"/>
          <w:szCs w:val="24"/>
        </w:rPr>
        <w:t>USB devices were routinely used to transfer imaging files between treatment rooms, bypassing the access controls and audit trail of the central imaging server. This workaround has become normalised because the current infrastructure does not support the speed clinical workflows require. Any remediation must address that usability gap directly, or staff will find alternative workarounds.</w:t>
      </w:r>
    </w:p>
    <w:p>
      <w:pPr>
        <w:pStyle w:val="Normal"/>
        <w:bidi w:val="0"/>
        <w:jc w:val="start"/>
        <w:rPr>
          <w:sz w:val="24"/>
          <w:szCs w:val="24"/>
        </w:rPr>
      </w:pPr>
      <w:r>
        <w:rPr>
          <w:sz w:val="24"/>
          <w:szCs w:val="24"/>
        </w:rPr>
      </w:r>
    </w:p>
    <w:p>
      <w:pPr>
        <w:pStyle w:val="Normal"/>
        <w:bidi w:val="0"/>
        <w:jc w:val="start"/>
        <w:rPr>
          <w:b/>
          <w:bCs/>
          <w:sz w:val="28"/>
          <w:szCs w:val="28"/>
        </w:rPr>
      </w:pPr>
      <w:r>
        <w:rPr>
          <w:b/>
          <w:bCs/>
          <w:sz w:val="28"/>
          <w:szCs w:val="28"/>
        </w:rPr>
        <w:t>Data Protection and Compliance Audit</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acts as a data controller under the UK GDPR and Data Protection Act 2018, processing special category health data for a large patient population.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of Good Practice</w:t>
      </w:r>
    </w:p>
    <w:p>
      <w:pPr>
        <w:pStyle w:val="Normal"/>
        <w:bidi w:val="0"/>
        <w:jc w:val="start"/>
        <w:rPr>
          <w:sz w:val="24"/>
          <w:szCs w:val="24"/>
        </w:rPr>
      </w:pPr>
      <w:r>
        <w:rPr>
          <w:sz w:val="24"/>
          <w:szCs w:val="24"/>
        </w:rPr>
      </w:r>
    </w:p>
    <w:p>
      <w:pPr>
        <w:pStyle w:val="Normal"/>
        <w:bidi w:val="0"/>
        <w:jc w:val="start"/>
        <w:rPr>
          <w:sz w:val="24"/>
          <w:szCs w:val="24"/>
        </w:rPr>
      </w:pPr>
      <w:r>
        <w:rPr>
          <w:sz w:val="24"/>
          <w:szCs w:val="24"/>
        </w:rPr>
        <w:t>Patients receive a privacy notice covering data sharing with laboratories, insurers, and NHS services, satisfying the transparency principle. Clinical records are restricted to dentists and nurses, with reception staff limited to booking and contact data, reflecting role-based access in line with the integrity and confidentiality principle. Data collection is broadly limited to what is necessary for treatment and administration, aligning with data minimisation.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Areas for Improvement</w:t>
      </w:r>
    </w:p>
    <w:p>
      <w:pPr>
        <w:pStyle w:val="Normal"/>
        <w:bidi w:val="0"/>
        <w:jc w:val="start"/>
        <w:rPr>
          <w:sz w:val="24"/>
          <w:szCs w:val="24"/>
        </w:rPr>
      </w:pPr>
      <w:r>
        <w:rPr>
          <w:sz w:val="24"/>
          <w:szCs w:val="24"/>
        </w:rPr>
      </w:r>
    </w:p>
    <w:p>
      <w:pPr>
        <w:pStyle w:val="Normal"/>
        <w:bidi w:val="0"/>
        <w:jc w:val="start"/>
        <w:rPr>
          <w:sz w:val="24"/>
          <w:szCs w:val="24"/>
        </w:rPr>
      </w:pPr>
      <w:r>
        <w:rPr>
          <w:sz w:val="24"/>
          <w:szCs w:val="24"/>
        </w:rPr>
        <w:t>The organisation does not maintain a Record of Processing Activities, nor does it formally document its lawful bases for processing, as required by Article 30. In practice, most processing relies on contract performance for treatment provision, legal obligation for NHS reporting, and provision of healthcare for special category data, but none of this is recorded. This weakens the ability to demonstrate accountability under Article 5(2) and means the organisation could not readily prepare a defensible response to an ICO inquiry following a breach. There is no documented Subject Access Request procedure, and staff were unaware of the one-month statutory response window, creating a direct compliance risk should a request be received.</w:t>
      </w:r>
    </w:p>
    <w:p>
      <w:pPr>
        <w:pStyle w:val="Normal"/>
        <w:bidi w:val="0"/>
        <w:jc w:val="start"/>
        <w:rPr>
          <w:sz w:val="24"/>
          <w:szCs w:val="24"/>
        </w:rPr>
      </w:pPr>
      <w:r>
        <w:rPr>
          <w:sz w:val="24"/>
          <w:szCs w:val="24"/>
        </w:rPr>
      </w:r>
    </w:p>
    <w:p>
      <w:pPr>
        <w:pStyle w:val="Normal"/>
        <w:bidi w:val="0"/>
        <w:jc w:val="start"/>
        <w:rPr>
          <w:sz w:val="24"/>
          <w:szCs w:val="24"/>
        </w:rPr>
      </w:pPr>
      <w:r>
        <w:rPr>
          <w:sz w:val="24"/>
          <w:szCs w:val="24"/>
        </w:rPr>
        <w:t>Retention practices are inconsistent and, in some cases, non-compliant. BrightSmile is subject to the NHS England Records Management Code of Practice, which specifies a minimum ten-year retention period from the date of last treatment, or until the patient's 25th birthday if longer. Indefinite retention beyond that period breaches the storage limitation principle. Inconsistent deletion across sites also means the organisation cannot confirm that all copies of a record, including those in local spreadsheets and email inboxes, have been removed at the appropriate time. Written data processing agreements are absent for several third-party processors contrary to Article 28, and some patient data is transmitted via unencrypted email, presenting an unnecessary confidentiality risk for highly sensitive health information.</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Utilisation and Data Protection</w:t>
      </w:r>
    </w:p>
    <w:p>
      <w:pPr>
        <w:pStyle w:val="Normal"/>
        <w:bidi w:val="0"/>
        <w:jc w:val="start"/>
        <w:rPr>
          <w:sz w:val="24"/>
          <w:szCs w:val="24"/>
        </w:rPr>
      </w:pPr>
      <w:r>
        <w:rPr>
          <w:sz w:val="24"/>
          <w:szCs w:val="24"/>
        </w:rPr>
      </w:r>
    </w:p>
    <w:p>
      <w:pPr>
        <w:pStyle w:val="Normal"/>
        <w:bidi w:val="0"/>
        <w:jc w:val="start"/>
        <w:rPr>
          <w:sz w:val="24"/>
          <w:szCs w:val="24"/>
        </w:rPr>
      </w:pPr>
      <w:r>
        <w:rPr>
          <w:sz w:val="24"/>
          <w:szCs w:val="24"/>
        </w:rPr>
        <w:t>A core tension in any data strategy is what the Harvard Business Review (2017) describes as defence versus offence, defensive strategies prioritise security and compliance, while offensive strategies maximise data availability to support decision-making and operational improvement. Getting this balance wrong in either direction is costly. Excessive restriction will continue driving informal workarounds that create compliance risk, as seen in BrightSmile's local spreadsheets, verbal clinical handovers between sites, and USB file transfers. Excessive openness increases the consequences of a breach and the risk of processing data beyond its permitted purpose.</w:t>
      </w:r>
    </w:p>
    <w:p>
      <w:pPr>
        <w:pStyle w:val="Normal"/>
        <w:bidi w:val="0"/>
        <w:jc w:val="start"/>
        <w:rPr>
          <w:sz w:val="24"/>
          <w:szCs w:val="24"/>
        </w:rPr>
      </w:pPr>
      <w:r>
        <w:rPr>
          <w:sz w:val="24"/>
          <w:szCs w:val="24"/>
        </w:rPr>
      </w:r>
    </w:p>
    <w:p>
      <w:pPr>
        <w:pStyle w:val="Normal"/>
        <w:bidi w:val="0"/>
        <w:jc w:val="start"/>
        <w:rPr>
          <w:sz w:val="24"/>
          <w:szCs w:val="24"/>
        </w:rPr>
      </w:pPr>
      <w:r>
        <w:rPr>
          <w:sz w:val="24"/>
          <w:szCs w:val="24"/>
        </w:rPr>
        <w:t>The goal should be a single source of truth, storing each data element once and making it accessible to authorised staff through controlled channels. This approach makes protection and usability mutually reinforcing rather than competing (Tallon, 2013). Clinicians can access accurate records from any site without resorting to workarounds, while security controls and access permissions prevent unauthorised use. It also eliminates the data quality problems caused by maintaining multiple partial copies of patient information across sites, which is a prerequisite for any reliable operational analytics.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Current Utilisation and New Opportunities</w:t>
      </w:r>
    </w:p>
    <w:p>
      <w:pPr>
        <w:pStyle w:val="Normal"/>
        <w:bidi w:val="0"/>
        <w:jc w:val="start"/>
        <w:rPr>
          <w:sz w:val="24"/>
          <w:szCs w:val="24"/>
        </w:rPr>
      </w:pPr>
      <w:r>
        <w:rPr>
          <w:sz w:val="24"/>
          <w:szCs w:val="24"/>
        </w:rPr>
      </w:r>
    </w:p>
    <w:p>
      <w:pPr>
        <w:pStyle w:val="Normal"/>
        <w:bidi w:val="0"/>
        <w:jc w:val="start"/>
        <w:rPr>
          <w:sz w:val="24"/>
          <w:szCs w:val="24"/>
        </w:rPr>
      </w:pPr>
      <w:r>
        <w:rPr>
          <w:sz w:val="24"/>
          <w:szCs w:val="24"/>
        </w:rPr>
        <w:t>BrightSmile currently uses data descriptively, in that patient records support treatment, appointment systems manage bookings, and financial records support billing and insurance claims. This represents the lowest tier of analytical value. Data is stored but not actively interrogated to inform decisions or improve services.</w:t>
      </w:r>
    </w:p>
    <w:p>
      <w:pPr>
        <w:pStyle w:val="Normal"/>
        <w:bidi w:val="0"/>
        <w:jc w:val="start"/>
        <w:rPr>
          <w:sz w:val="24"/>
          <w:szCs w:val="24"/>
        </w:rPr>
      </w:pPr>
      <w:r>
        <w:rPr>
          <w:sz w:val="24"/>
          <w:szCs w:val="24"/>
        </w:rPr>
      </w:r>
    </w:p>
    <w:p>
      <w:pPr>
        <w:pStyle w:val="Normal"/>
        <w:bidi w:val="0"/>
        <w:jc w:val="start"/>
        <w:rPr>
          <w:sz w:val="24"/>
          <w:szCs w:val="24"/>
        </w:rPr>
      </w:pPr>
      <w:r>
        <w:rPr>
          <w:sz w:val="24"/>
          <w:szCs w:val="24"/>
        </w:rPr>
        <w:t>With appropriate governance in place, the organisation has clear opportunities to move toward predictive analytics. Appointment records could identify patterns in non-attendance and allow targeted reminder interventions for higher-risk patients. Treatment histories could flag individuals at elevated risk of periodontal disease or other recurring conditions, supporting preventive care programmes that reduce both clinical risk and long-term treatment costs. Stock usage data could be aligned with treatment volumes to reduce waste, and staffing levels could be matched to peak demand periods identified from appointment data. These applications require no new data collection, only better use of data already held, allowing better use of resources throughout the organisation.</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Data Protection Issues for Utilisation</w:t>
      </w:r>
    </w:p>
    <w:p>
      <w:pPr>
        <w:pStyle w:val="Normal"/>
        <w:bidi w:val="0"/>
        <w:jc w:val="start"/>
        <w:rPr>
          <w:sz w:val="24"/>
          <w:szCs w:val="24"/>
        </w:rPr>
      </w:pPr>
      <w:r>
        <w:rPr>
          <w:sz w:val="24"/>
          <w:szCs w:val="24"/>
        </w:rPr>
      </w:r>
    </w:p>
    <w:p>
      <w:pPr>
        <w:pStyle w:val="Normal"/>
        <w:bidi w:val="0"/>
        <w:jc w:val="start"/>
        <w:rPr>
          <w:sz w:val="24"/>
          <w:szCs w:val="24"/>
        </w:rPr>
      </w:pPr>
      <w:r>
        <w:rPr>
          <w:sz w:val="24"/>
          <w:szCs w:val="24"/>
        </w:rPr>
        <w:t>Expanded data use introduces additional obligations that must be addressed before any analytical programme begins. Using patient records to identify behavioural patterns, such as likelihood of missing an appointment, may constitute profiling under the UK GDPR, and patients may not expect their health information to be used beyond direct treatment purposes. Any expanded use must have a clearly documented lawful basis and must be assessed for compatibility with the original purpose of collection under the purpose limitation principle.</w:t>
      </w:r>
    </w:p>
    <w:p>
      <w:pPr>
        <w:pStyle w:val="Normal"/>
        <w:bidi w:val="0"/>
        <w:jc w:val="start"/>
        <w:rPr>
          <w:sz w:val="24"/>
          <w:szCs w:val="24"/>
        </w:rPr>
      </w:pPr>
      <w:r>
        <w:rPr>
          <w:sz w:val="24"/>
          <w:szCs w:val="24"/>
        </w:rPr>
      </w:r>
    </w:p>
    <w:p>
      <w:pPr>
        <w:pStyle w:val="Normal"/>
        <w:bidi w:val="0"/>
        <w:jc w:val="start"/>
        <w:rPr>
          <w:sz w:val="24"/>
          <w:szCs w:val="24"/>
        </w:rPr>
      </w:pPr>
      <w:r>
        <w:rPr>
          <w:sz w:val="24"/>
          <w:szCs w:val="24"/>
        </w:rPr>
        <w:t>Where profiling or predictive modelling is involved, a DPIA is mandatory under Article 35. Analytical work should use pseudonymised or anonymised data wherever possible, and automated outputs should include human oversight to prevent unfair outcomes. Combining datasets also increases the potential impact of a breach, so access to analytical environments should be strictly controlled and separate from operational systems.</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Data Team and Data Culture</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Summary of Current Organisational Structure and Data Roles</w:t>
      </w:r>
    </w:p>
    <w:p>
      <w:pPr>
        <w:pStyle w:val="Normal"/>
        <w:bidi w:val="0"/>
        <w:jc w:val="start"/>
        <w:rPr>
          <w:b/>
          <w:bCs/>
          <w:sz w:val="26"/>
          <w:szCs w:val="26"/>
        </w:rPr>
      </w:pPr>
      <w:r>
        <w:rPr>
          <w:b/>
          <w:bCs/>
          <w:sz w:val="26"/>
          <w:szCs w:val="26"/>
        </w:rPr>
      </w:r>
    </w:p>
    <w:p>
      <w:pPr>
        <w:pStyle w:val="Normal"/>
        <w:bidi w:val="0"/>
        <w:jc w:val="start"/>
        <w:rPr>
          <w:sz w:val="24"/>
          <w:szCs w:val="24"/>
        </w:rPr>
      </w:pPr>
      <w:r>
        <w:rPr>
          <w:sz w:val="24"/>
          <w:szCs w:val="24"/>
        </w:rPr>
        <w:t>BrightSmile has no dedicated data team. Responsibility is distributed informally across practice managers, clinical leads, and an external IT provider. The organisation has no formally appointed Data Owner, Data Steward, or Data Protection Lead, role types identified by Wende (2007) as essential accountability structures for effective data governance. The Head of Operations acts as a de-facto data owner for HR and financial records, and clinical leads exercise informal stewardship over patient records, but neither role carries a formal mandate or accountability mechanism.</w:t>
      </w:r>
    </w:p>
    <w:p>
      <w:pPr>
        <w:pStyle w:val="Normal"/>
        <w:bidi w:val="0"/>
        <w:jc w:val="start"/>
        <w:rPr>
          <w:sz w:val="24"/>
          <w:szCs w:val="24"/>
        </w:rPr>
      </w:pPr>
      <w:r>
        <w:rPr>
          <w:sz w:val="24"/>
          <w:szCs w:val="24"/>
        </w:rPr>
      </w:r>
    </w:p>
    <w:p>
      <w:pPr>
        <w:pStyle w:val="Normal"/>
        <w:bidi w:val="0"/>
        <w:jc w:val="start"/>
        <w:rPr>
          <w:sz w:val="24"/>
          <w:szCs w:val="24"/>
        </w:rPr>
      </w:pPr>
      <w:r>
        <w:rPr>
          <w:sz w:val="24"/>
          <w:szCs w:val="24"/>
        </w:rPr>
        <w:t>The external IT provider fulfils a technical custodian function but has no data governance responsibilities under its current contract, and no written data processing agreement is in place, which is a compliance gap under Article 28. Practice managers operate independently, which explains the inconsistencies in retention practices, naming conventions, and local data storage documented across sites.</w:t>
      </w:r>
    </w:p>
    <w:p>
      <w:pPr>
        <w:pStyle w:val="Normal"/>
        <w:bidi w:val="0"/>
        <w:jc w:val="start"/>
        <w:rPr>
          <w:sz w:val="24"/>
          <w:szCs w:val="24"/>
        </w:rPr>
      </w:pPr>
      <w:r>
        <w:rPr>
          <w:sz w:val="24"/>
          <w:szCs w:val="24"/>
        </w:rPr>
      </w:r>
    </w:p>
    <w:p>
      <w:pPr>
        <w:pStyle w:val="Normal"/>
        <w:bidi w:val="0"/>
        <w:jc w:val="start"/>
        <w:rPr>
          <w:b/>
          <w:bCs/>
          <w:sz w:val="26"/>
          <w:szCs w:val="26"/>
        </w:rPr>
      </w:pPr>
      <w:r>
        <w:rPr>
          <w:b/>
          <w:bCs/>
          <w:sz w:val="26"/>
          <w:szCs w:val="26"/>
        </w:rPr>
        <w:t>Assessment of Current Data Literacy and Culture</w:t>
      </w:r>
    </w:p>
    <w:p>
      <w:pPr>
        <w:pStyle w:val="Normal"/>
        <w:bidi w:val="0"/>
        <w:jc w:val="start"/>
        <w:rPr>
          <w:sz w:val="24"/>
          <w:szCs w:val="24"/>
        </w:rPr>
      </w:pPr>
      <w:r>
        <w:rPr>
          <w:sz w:val="24"/>
          <w:szCs w:val="24"/>
        </w:rPr>
      </w:r>
    </w:p>
    <w:p>
      <w:pPr>
        <w:pStyle w:val="Normal"/>
        <w:bidi w:val="0"/>
        <w:jc w:val="start"/>
        <w:rPr>
          <w:sz w:val="24"/>
          <w:szCs w:val="24"/>
        </w:rPr>
      </w:pPr>
      <w:r>
        <w:rPr>
          <w:sz w:val="24"/>
          <w:szCs w:val="24"/>
        </w:rPr>
        <w:t>Data literacy was assessed using three methods, a written quiz which was given to 31 staff across the four audit clinics, direct observation of workflows, and semi-structured interviews with practice managers and clinical leads. The quiz covered core GDPR principles, Subject Access Request procedures, phishing recognition, secure email practices, and breach reporting, scored on a five-point scale.</w:t>
      </w:r>
    </w:p>
    <w:p>
      <w:pPr>
        <w:pStyle w:val="Normal"/>
        <w:bidi w:val="0"/>
        <w:jc w:val="start"/>
        <w:rPr>
          <w:sz w:val="24"/>
          <w:szCs w:val="24"/>
        </w:rPr>
      </w:pPr>
      <w:r>
        <w:rPr>
          <w:sz w:val="24"/>
          <w:szCs w:val="24"/>
        </w:rPr>
      </w:r>
    </w:p>
    <w:p>
      <w:pPr>
        <w:pStyle w:val="Normal"/>
        <w:bidi w:val="0"/>
        <w:jc w:val="start"/>
        <w:rPr>
          <w:sz w:val="24"/>
          <w:szCs w:val="24"/>
        </w:rPr>
      </w:pPr>
      <w:r>
        <w:rPr>
          <w:sz w:val="24"/>
          <w:szCs w:val="24"/>
        </w:rPr>
        <w:t>Clinical staff averaged 4.1 out of 5, reflecting strong professional confidentiality training embedded in General Dental Council registration requirements. However, only 4 of 14 correctly identified the one-month SAR response window. Administrative staff averaged 2.6 out of 5, only 3 of 17 identified a simulated phishing email, and none could describe the breach reporting procedure. Interviews confirmed that practice managers viewed data protection as a clinical responsibility rather than an organisational one, and several were unaware of the legal basis for processing special category data. One described maintaining a local spreadsheet as “just easier than logging into the main system from the front desk”, illustrating how usability gaps may drive compliance risk.</w:t>
      </w:r>
    </w:p>
    <w:p>
      <w:pPr>
        <w:pStyle w:val="Normal"/>
        <w:bidi w:val="0"/>
        <w:jc w:val="start"/>
        <w:rPr>
          <w:sz w:val="24"/>
          <w:szCs w:val="24"/>
        </w:rPr>
      </w:pPr>
      <w:r>
        <w:rPr>
          <w:sz w:val="24"/>
          <w:szCs w:val="24"/>
        </w:rPr>
      </w:r>
    </w:p>
    <w:p>
      <w:pPr>
        <w:pStyle w:val="Normal"/>
        <w:bidi w:val="0"/>
        <w:jc w:val="start"/>
        <w:rPr>
          <w:sz w:val="24"/>
          <w:szCs w:val="24"/>
        </w:rPr>
      </w:pPr>
      <w:r>
        <w:rPr>
          <w:sz w:val="24"/>
          <w:szCs w:val="24"/>
        </w:rPr>
        <w:t>Using Gartner's definition (Gartner, 2022) of data literacy as the ability to read, write, and communicate data in context, the workforce scores well on confidentiality but poorly on governance and analytical dimensions. The organisation has a culture of professional care but not yet a standardised data culture, staff do not treat data as an organisational asset with defined governance requirements, and there is no shared vocabulary around data handling beyond individual professional judgement. This matters practically as well as conceptually, a good data culture depends on four main elements, data access, data skills, data tools, and communication. BrightSmile currently scores poorly on all four. Access is impeded by fragmented systems, skills gaps are evident from the quiz results, tools are inconsistent between sites, and there is no formal communication channel for data governance matters. Building a data culture requires deliberate investment in each of these dimensions, which the recommendations below are designed to address.</w:t>
      </w:r>
    </w:p>
    <w:p>
      <w:pPr>
        <w:pStyle w:val="Normal"/>
        <w:bidi w:val="0"/>
        <w:jc w:val="start"/>
        <w:rPr>
          <w:sz w:val="24"/>
          <w:szCs w:val="24"/>
        </w:rPr>
      </w:pPr>
      <w:r>
        <w:rPr>
          <w:sz w:val="24"/>
          <w:szCs w:val="24"/>
        </w:rPr>
      </w:r>
    </w:p>
    <w:p>
      <w:pPr>
        <w:pStyle w:val="Normal"/>
        <w:bidi w:val="0"/>
        <w:jc w:val="start"/>
        <w:rPr>
          <w:sz w:val="24"/>
          <w:szCs w:val="24"/>
        </w:rPr>
      </w:pPr>
      <w:r>
        <w:rPr>
          <w:sz w:val="24"/>
          <w:szCs w:val="24"/>
        </w:rPr>
        <w:t>The data practices observed during this audit raise ethical obligations that go beyond legal compliance. Patients share highly sensitive health information with BrightSmile in the context of a care relationship where they have little practical choice about whether to do so, and that creates a duty of care that extends beyond avoiding regulatory breach (Bélanger and Crossler, 2011). The normalisation of informal workarounds and the absence of staff training are not merely compliance failures, they reflect an organisation that has not yet recognised data stewardship as an ethical responsibility. Good data governance must therefore include an ethical dimension, ensuring that staff understand not just what the rules require, but why those rules exist and what is at stake for patients when they are not followed.</w:t>
      </w:r>
    </w:p>
    <w:p>
      <w:pPr>
        <w:pStyle w:val="Normal"/>
        <w:bidi w:val="0"/>
        <w:jc w:val="start"/>
        <w:rPr>
          <w:sz w:val="24"/>
          <w:szCs w:val="24"/>
        </w:rPr>
      </w:pPr>
      <w:r>
        <w:rPr>
          <w:sz w:val="24"/>
          <w:szCs w:val="24"/>
        </w:rPr>
      </w:r>
    </w:p>
    <w:p>
      <w:pPr>
        <w:pStyle w:val="Normal"/>
        <w:bidi w:val="0"/>
        <w:jc w:val="start"/>
        <w:rPr>
          <w:sz w:val="36"/>
          <w:szCs w:val="36"/>
        </w:rPr>
      </w:pPr>
      <w:r>
        <w:rPr>
          <w:b/>
          <w:bCs/>
          <w:sz w:val="36"/>
          <w:szCs w:val="36"/>
        </w:rPr>
        <w:t>Recommendations</w:t>
      </w:r>
    </w:p>
    <w:p>
      <w:pPr>
        <w:pStyle w:val="Normal"/>
        <w:bidi w:val="0"/>
        <w:jc w:val="start"/>
        <w:rPr>
          <w:sz w:val="32"/>
          <w:szCs w:val="32"/>
        </w:rPr>
      </w:pPr>
      <w:r>
        <w:rPr>
          <w:sz w:val="32"/>
          <w:szCs w:val="32"/>
        </w:rPr>
      </w:r>
    </w:p>
    <w:p>
      <w:pPr>
        <w:pStyle w:val="Normal"/>
        <w:bidi w:val="0"/>
        <w:jc w:val="start"/>
        <w:rPr>
          <w:sz w:val="24"/>
          <w:szCs w:val="24"/>
        </w:rPr>
      </w:pPr>
      <w:r>
        <w:rPr>
          <w:sz w:val="24"/>
          <w:szCs w:val="24"/>
        </w:rPr>
        <w:t>The findings of this report reveal a consistent underlying problem. BrightSmile's data practices have grown organically alongside the organisation rather than being purposefully designed, resulting in reasonable individual behaviour without the governance infrastructure to ensure consistency, compliance, or effective use of data at scale. Establishing a Record of Processing Activities must come first, because without a complete picture of what data is held and on what legal basis it is impossible to write a defensible retention schedule or identify gaps in processor agreements. Role definitions must be in place before training can be targeted effectively, and governance foundations must be established before any expanded data utilisation is attempted. Each recommendation therefore builds on the one before it and are organised into Data, People, and Technology.</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1. Data</w:t>
      </w:r>
    </w:p>
    <w:p>
      <w:pPr>
        <w:pStyle w:val="Normal"/>
        <w:bidi w:val="0"/>
        <w:jc w:val="start"/>
        <w:rPr>
          <w:sz w:val="24"/>
          <w:szCs w:val="24"/>
        </w:rPr>
      </w:pPr>
      <w:r>
        <w:rPr>
          <w:sz w:val="24"/>
          <w:szCs w:val="24"/>
        </w:rPr>
      </w:r>
    </w:p>
    <w:p>
      <w:pPr>
        <w:pStyle w:val="Normal"/>
        <w:bidi w:val="0"/>
        <w:jc w:val="start"/>
        <w:rPr>
          <w:b/>
          <w:bCs/>
        </w:rPr>
      </w:pPr>
      <w:r>
        <w:rPr>
          <w:b/>
          <w:bCs/>
          <w:sz w:val="24"/>
          <w:szCs w:val="24"/>
        </w:rPr>
        <w:t>1.1  Establish a Record of Processing Activities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 Record of Processing Activities (ROPA) is a legal requirement under Article 30 and is the prerequisite for all other governance work. Without it the organisation cannot write a defensible retention schedule, identify gaps in processor agreements, or respond adequately to Subject Access Requests. For BrightSmile this means documenting at minimum six processing activities: patient registration, clinical treatment, NHS reporting, laboratory referrals, payment processing, and HR records, each with its lawful basis, storage location, third-party recipients, and planned retention period. This document must be completed before other governance initiatives proceed, as it surfaces the information on which all subsequent actions depend.</w:t>
      </w:r>
    </w:p>
    <w:p>
      <w:pPr>
        <w:pStyle w:val="Normal"/>
        <w:bidi w:val="0"/>
        <w:jc w:val="start"/>
        <w:rPr>
          <w:sz w:val="24"/>
          <w:szCs w:val="24"/>
        </w:rPr>
      </w:pPr>
      <w:r>
        <w:rPr>
          <w:sz w:val="24"/>
          <w:szCs w:val="24"/>
        </w:rPr>
      </w:r>
    </w:p>
    <w:p>
      <w:pPr>
        <w:pStyle w:val="Normal"/>
        <w:bidi w:val="0"/>
        <w:jc w:val="start"/>
        <w:rPr>
          <w:b/>
          <w:bCs/>
        </w:rPr>
      </w:pPr>
      <w:r>
        <w:rPr>
          <w:b/>
          <w:bCs/>
          <w:sz w:val="24"/>
          <w:szCs w:val="24"/>
        </w:rPr>
        <w:t>1.2  Implement a Retention Schedule</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BrightSmile processes NHS dental records and is subject to the NHS England Records Management Code of Practice, which specifies a minimum ten-year retention period from the date of last treatment, or until the patient's 25th birthday if that is longer. The current practice of indefinite retention at some clinics directly breaches the storage limitation principle. Records approaching their minimum retention period should be flagged for clinical review before deletion, given the possibility of ongoing relevance, rather than deleted automatically.</w:t>
      </w:r>
    </w:p>
    <w:p>
      <w:pPr>
        <w:pStyle w:val="Normal"/>
        <w:bidi w:val="0"/>
        <w:jc w:val="start"/>
        <w:rPr>
          <w:sz w:val="24"/>
          <w:szCs w:val="24"/>
        </w:rPr>
      </w:pPr>
      <w:r>
        <w:rPr>
          <w:sz w:val="24"/>
          <w:szCs w:val="24"/>
        </w:rPr>
      </w:r>
    </w:p>
    <w:p>
      <w:pPr>
        <w:pStyle w:val="Normal"/>
        <w:bidi w:val="0"/>
        <w:jc w:val="start"/>
        <w:rPr>
          <w:b/>
          <w:bCs/>
        </w:rPr>
      </w:pPr>
      <w:r>
        <w:rPr>
          <w:b/>
          <w:bCs/>
          <w:sz w:val="24"/>
          <w:szCs w:val="24"/>
        </w:rPr>
        <w:t>1.3  Conduct DPIAs Before Expanding Data Utilisation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Any analytics programme or predictive modelling involving patient data requires a Data Protection Impact Assessment under Article 35, which is mandatory where processing is likely to result in high risk to individuals. This applies directly to the two highest-value opportunities identified in this report: using appointment data to predict non-attendance, and analysing treatment histories to flag periodontal risk. Both constitute profiling of patients and require a DPIA, using the ICO’s structured template, before any analytical work begins.</w:t>
      </w:r>
    </w:p>
    <w:p>
      <w:pPr>
        <w:pStyle w:val="Normal"/>
        <w:bidi w:val="0"/>
        <w:jc w:val="start"/>
        <w:rPr>
          <w:b w:val="false"/>
          <w:bCs w:val="false"/>
        </w:rPr>
      </w:pPr>
      <w:r>
        <w:rPr>
          <w:b w:val="false"/>
          <w:bCs w:val="false"/>
        </w:rPr>
      </w:r>
    </w:p>
    <w:p>
      <w:pPr>
        <w:pStyle w:val="Normal"/>
        <w:bidi w:val="0"/>
        <w:jc w:val="start"/>
        <w:rPr>
          <w:b/>
          <w:bCs/>
        </w:rPr>
      </w:pPr>
      <w:r>
        <w:rPr>
          <w:b/>
          <w:bCs/>
          <w:sz w:val="24"/>
          <w:szCs w:val="24"/>
        </w:rPr>
        <w:t>1.4  Formalise Data Sharing Agreements and Introduce Data Classification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Written processor agreements must be in place with all third parties, including dental laboratories, the IT provider, and payment processors, as required by Article 28. Unencrypted email transmission of patient data should be replaced with NHS Mail. BrightSmile’s imaging data and special category health records should be classified as Restricted, appointment and operational data as Internal, and anonymised analytics outputs as Open, with metadata recording the lawful basis, allowable uses, and retention period for each dataset, directly supporting the purpose limitation and accountability principles of the UK GDPR.</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2. People</w:t>
      </w:r>
    </w:p>
    <w:p>
      <w:pPr>
        <w:pStyle w:val="Normal"/>
        <w:bidi w:val="0"/>
        <w:jc w:val="start"/>
        <w:rPr>
          <w:sz w:val="24"/>
          <w:szCs w:val="24"/>
        </w:rPr>
      </w:pPr>
      <w:r>
        <w:rPr>
          <w:sz w:val="24"/>
          <w:szCs w:val="24"/>
        </w:rPr>
      </w:r>
    </w:p>
    <w:p>
      <w:pPr>
        <w:pStyle w:val="Normal"/>
        <w:bidi w:val="0"/>
        <w:jc w:val="start"/>
        <w:rPr>
          <w:b/>
          <w:bCs/>
        </w:rPr>
      </w:pPr>
      <w:r>
        <w:rPr>
          <w:b/>
          <w:bCs/>
          <w:sz w:val="24"/>
          <w:szCs w:val="24"/>
        </w:rPr>
        <w:t>2.1  Appoint a Data Protection Lead</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BrightSmile should designate a senior Data Protection Lead with clear responsibility for compliance oversight, ICO liaison, incident escalation, and quarterly governance review. Given the organisation’s multi-site processing of substantial volumes of special category health data, formal leadership in this area is necessary regardless of whether a statutory obligation to appoint a Data Protection Officer is ultimately triggered under Article 37 UK GDPR. Without a named individual with sufficient authority, time, and reporting lines, the accountability gaps identified in this audit, no SAR procedure, no breach reporting process, and no processor agreements for several third parties, are likely to persist as the organisation grows.</w:t>
      </w:r>
    </w:p>
    <w:p>
      <w:pPr>
        <w:pStyle w:val="Normal"/>
        <w:bidi w:val="0"/>
        <w:jc w:val="start"/>
        <w:rPr>
          <w:sz w:val="24"/>
          <w:szCs w:val="24"/>
        </w:rPr>
      </w:pPr>
      <w:r>
        <w:rPr>
          <w:sz w:val="24"/>
          <w:szCs w:val="24"/>
        </w:rPr>
      </w:r>
    </w:p>
    <w:p>
      <w:pPr>
        <w:pStyle w:val="Normal"/>
        <w:bidi w:val="0"/>
        <w:jc w:val="start"/>
        <w:rPr>
          <w:b/>
          <w:bCs/>
        </w:rPr>
      </w:pPr>
      <w:r>
        <w:rPr>
          <w:b/>
          <w:bCs/>
          <w:sz w:val="24"/>
          <w:szCs w:val="24"/>
        </w:rPr>
        <w:t>2.2  Define Data Roles</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Three role types should be formally introduced. The Head of Operations is the natural Data Owner for HR and financial data; practice managers at each of the twelve sites should be designated Data Stewards, formalising the informal stewardship role they currently fulfil without mandate. Data Users, clinical and administrative staff, should have defined access rights documented in an updated staff handbook, replacing the current ad hoc arrangements that have allowed shared logins and local spreadsheets to persist.</w:t>
      </w:r>
    </w:p>
    <w:p>
      <w:pPr>
        <w:pStyle w:val="Normal"/>
        <w:bidi w:val="0"/>
        <w:jc w:val="start"/>
        <w:rPr>
          <w:b w:val="false"/>
          <w:bCs w:val="false"/>
        </w:rPr>
      </w:pPr>
      <w:r>
        <w:rPr>
          <w:b w:val="false"/>
          <w:bCs w:val="false"/>
        </w:rPr>
      </w:r>
    </w:p>
    <w:p>
      <w:pPr>
        <w:pStyle w:val="Normal"/>
        <w:bidi w:val="0"/>
        <w:jc w:val="start"/>
        <w:rPr>
          <w:b/>
          <w:bCs/>
        </w:rPr>
      </w:pPr>
      <w:r>
        <w:rPr>
          <w:b/>
          <w:bCs/>
          <w:sz w:val="24"/>
          <w:szCs w:val="24"/>
        </w:rPr>
        <w:t>2.3  Implement Mandatory Annual Training</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All staff should complete annual training covering UK GDPR obligations, Subject Access Request time-frames, phishing recognition, secure email practices, and breach reporting. Training should be differentiated by role, clinical staff need targeted content on lawful bases for processing health data, while administrative staff need practical guidance on data minimisation and avoiding informal workarounds. The specific gaps identified, no administrative staff able to describe the breach procedure, and only 3 of 17 identifying a simulated phishing email, should form the learning objectives for the first training cycle, with a repeat of the five-point quiz used to measure improvement. Completion should be recorded and treated as a compliance control rather than a discretionary activity, and new staff should complete training before being granted access to patient data.</w:t>
      </w:r>
    </w:p>
    <w:p>
      <w:pPr>
        <w:pStyle w:val="Normal"/>
        <w:bidi w:val="0"/>
        <w:jc w:val="start"/>
        <w:rPr>
          <w:sz w:val="24"/>
          <w:szCs w:val="24"/>
        </w:rPr>
      </w:pPr>
      <w:r>
        <w:rPr>
          <w:sz w:val="24"/>
          <w:szCs w:val="24"/>
        </w:rPr>
      </w:r>
    </w:p>
    <w:p>
      <w:pPr>
        <w:pStyle w:val="Normal"/>
        <w:bidi w:val="0"/>
        <w:jc w:val="start"/>
        <w:rPr>
          <w:sz w:val="28"/>
          <w:szCs w:val="28"/>
        </w:rPr>
      </w:pPr>
      <w:r>
        <w:rPr>
          <w:b/>
          <w:bCs/>
          <w:sz w:val="28"/>
          <w:szCs w:val="28"/>
        </w:rPr>
        <w:t>3. Technology</w:t>
      </w:r>
    </w:p>
    <w:p>
      <w:pPr>
        <w:pStyle w:val="Normal"/>
        <w:bidi w:val="0"/>
        <w:jc w:val="start"/>
        <w:rPr>
          <w:sz w:val="24"/>
          <w:szCs w:val="24"/>
        </w:rPr>
      </w:pPr>
      <w:r>
        <w:rPr>
          <w:sz w:val="24"/>
          <w:szCs w:val="24"/>
        </w:rPr>
      </w:r>
    </w:p>
    <w:p>
      <w:pPr>
        <w:pStyle w:val="Normal"/>
        <w:bidi w:val="0"/>
        <w:jc w:val="start"/>
        <w:rPr>
          <w:b/>
          <w:bCs/>
        </w:rPr>
      </w:pPr>
      <w:r>
        <w:rPr>
          <w:b/>
          <w:bCs/>
          <w:sz w:val="24"/>
          <w:szCs w:val="24"/>
        </w:rPr>
        <w:t>3.1  Implement a Unified Practice Management System</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Replacing the current mix of local systems with a single cloud-hosted platform is the highest-impact technical investment available to the organisation. A unified system eliminates duplicate records, enforces consistent data entry, and removes the operational incentive for local spreadsheets by making cross-clinic data accessible through authorised channels. It also directly addresses the root cause of the USB imaging workaround: if files are accessible from any treatment room through the central system at clinical speed, the security risk disappears without requiring staff behaviour change. Any replacement system must be evaluated against NHS Digital’s DSPT requirements before procurement, and a data processing agreement signed with the vendor prior to migration.</w:t>
      </w:r>
    </w:p>
    <w:p>
      <w:pPr>
        <w:pStyle w:val="Normal"/>
        <w:bidi w:val="0"/>
        <w:jc w:val="start"/>
        <w:rPr>
          <w:b w:val="false"/>
          <w:bCs w:val="false"/>
        </w:rPr>
      </w:pPr>
      <w:r>
        <w:rPr>
          <w:b w:val="false"/>
          <w:bCs w:val="false"/>
        </w:rPr>
      </w:r>
    </w:p>
    <w:p>
      <w:pPr>
        <w:pStyle w:val="Normal"/>
        <w:bidi w:val="0"/>
        <w:jc w:val="start"/>
        <w:rPr>
          <w:b/>
          <w:bCs/>
        </w:rPr>
      </w:pPr>
      <w:r>
        <w:rPr>
          <w:b/>
          <w:bCs/>
          <w:sz w:val="24"/>
          <w:szCs w:val="24"/>
        </w:rPr>
        <w:t>3.2  Achieve Cyber Essentials Plus Certification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 xml:space="preserve">The verified Cyber Essentials Plus route is recommended given the sensitivity of data processed. Certification will require network segregation at the three sites sharing patient and staff Wi-Fi, elimination of shared booking logins at two clinics, a patch schedule covering the fourteen-month imaging software backlog, and USB restriction on clinical workstations. </w:t>
      </w:r>
      <w:r>
        <w:rPr>
          <w:b w:val="false"/>
          <w:bCs w:val="false"/>
          <w:sz w:val="24"/>
          <w:szCs w:val="24"/>
        </w:rPr>
        <w:t>Which</w:t>
      </w:r>
      <w:r>
        <w:rPr>
          <w:b w:val="false"/>
          <w:bCs w:val="false"/>
          <w:sz w:val="24"/>
          <w:szCs w:val="24"/>
        </w:rPr>
        <w:t xml:space="preserve"> are all scoped within the standard Cyber Essentials Plus assessment process. It also provides evidence of reasonable security measures in any subsequent ICO investigation.</w:t>
      </w:r>
    </w:p>
    <w:p>
      <w:pPr>
        <w:pStyle w:val="Normal"/>
        <w:bidi w:val="0"/>
        <w:jc w:val="start"/>
        <w:rPr>
          <w:b w:val="false"/>
          <w:bCs w:val="false"/>
        </w:rPr>
      </w:pPr>
      <w:r>
        <w:rPr>
          <w:b w:val="false"/>
          <w:bCs w:val="false"/>
        </w:rPr>
      </w:r>
    </w:p>
    <w:p>
      <w:pPr>
        <w:pStyle w:val="Normal"/>
        <w:bidi w:val="0"/>
        <w:jc w:val="start"/>
        <w:rPr>
          <w:b/>
          <w:bCs/>
        </w:rPr>
      </w:pPr>
      <w:r>
        <w:rPr>
          <w:b/>
          <w:bCs/>
          <w:sz w:val="24"/>
          <w:szCs w:val="24"/>
        </w:rPr>
        <w:t>3.3  Encrypt Data and Establish an Incident Response Plan</w:t>
      </w:r>
    </w:p>
    <w:p>
      <w:pPr>
        <w:pStyle w:val="Normal"/>
        <w:bidi w:val="0"/>
        <w:jc w:val="start"/>
        <w:rPr>
          <w:sz w:val="24"/>
          <w:szCs w:val="24"/>
        </w:rPr>
      </w:pPr>
      <w:r>
        <w:rPr>
          <w:sz w:val="24"/>
          <w:szCs w:val="24"/>
        </w:rPr>
      </w:r>
    </w:p>
    <w:p>
      <w:pPr>
        <w:pStyle w:val="Normal"/>
        <w:bidi w:val="0"/>
        <w:jc w:val="start"/>
        <w:rPr>
          <w:b w:val="false"/>
          <w:bCs w:val="false"/>
        </w:rPr>
      </w:pPr>
      <w:r>
        <w:rPr>
          <w:b w:val="false"/>
          <w:bCs w:val="false"/>
          <w:sz w:val="24"/>
          <w:szCs w:val="24"/>
        </w:rPr>
        <w:t>Sensitive data should be encrypted at rest and in transit under the integrity and confidentiality principle, and a breach response procedure must define the escalation path to the Data Protection Lead and ICO notification within 72 hours under Article 33. A tabletop ransomware exercise should follow within six months. Given BrightSmile’s exposure, unpatched software, shared credentials, and unsegregated networks and the audit finding that no staff could describe the breach procedure, it functions as a training intervention as much as a plan test.</w:t>
      </w:r>
    </w:p>
    <w:p>
      <w:pPr>
        <w:pStyle w:val="Normal"/>
        <w:bidi w:val="0"/>
        <w:jc w:val="start"/>
        <w:rPr>
          <w:b w:val="false"/>
          <w:bCs w:val="false"/>
          <w:sz w:val="24"/>
          <w:szCs w:val="24"/>
        </w:rPr>
      </w:pPr>
      <w:r>
        <w:rPr>
          <w:b w:val="false"/>
          <w:bCs w:val="false"/>
          <w:sz w:val="24"/>
          <w:szCs w:val="24"/>
        </w:rPr>
      </w:r>
    </w:p>
    <w:p>
      <w:pPr>
        <w:pStyle w:val="Normal"/>
        <w:bidi w:val="0"/>
        <w:jc w:val="start"/>
        <w:rPr>
          <w:sz w:val="36"/>
          <w:szCs w:val="36"/>
        </w:rPr>
      </w:pPr>
      <w:r>
        <w:rPr>
          <w:b/>
          <w:bCs/>
          <w:sz w:val="36"/>
          <w:szCs w:val="36"/>
        </w:rPr>
        <w:t>References</w:t>
      </w:r>
    </w:p>
    <w:p>
      <w:pPr>
        <w:pStyle w:val="Normal"/>
        <w:bidi w:val="0"/>
        <w:jc w:val="start"/>
        <w:rPr>
          <w:b/>
          <w:bCs/>
          <w:sz w:val="32"/>
          <w:szCs w:val="32"/>
        </w:rPr>
      </w:pPr>
      <w:r>
        <w:rPr>
          <w:b/>
          <w:bCs/>
          <w:sz w:val="32"/>
          <w:szCs w:val="32"/>
        </w:rPr>
      </w:r>
    </w:p>
    <w:p>
      <w:pPr>
        <w:pStyle w:val="Normal"/>
        <w:bidi w:val="0"/>
        <w:jc w:val="start"/>
        <w:rPr>
          <w:b w:val="false"/>
          <w:bCs w:val="false"/>
          <w:sz w:val="24"/>
          <w:szCs w:val="24"/>
        </w:rPr>
      </w:pPr>
      <w:r>
        <w:rPr>
          <w:b w:val="false"/>
          <w:bCs w:val="false"/>
          <w:sz w:val="24"/>
          <w:szCs w:val="24"/>
        </w:rPr>
        <w:t>Bélanger, F. and Crossler, R.E. (2011) 'Privacy in the Digital Age: A Review of Information Privacy Research in Information Systems', MIS Quarterly, 35(4), pp. 1017–1041.</w:t>
      </w:r>
    </w:p>
    <w:p>
      <w:pPr>
        <w:pStyle w:val="Normal"/>
        <w:bidi w:val="0"/>
        <w:jc w:val="start"/>
        <w:rPr>
          <w:b w:val="false"/>
          <w:bCs w:val="false"/>
          <w:sz w:val="24"/>
          <w:szCs w:val="24"/>
        </w:rPr>
      </w:pPr>
      <w:r>
        <w:rPr>
          <w:b w:val="false"/>
          <w:bCs w:val="false"/>
          <w:sz w:val="24"/>
          <w:szCs w:val="24"/>
        </w:rPr>
        <w:t xml:space="preserve">Gartner (2022) Data Literacy. Available at: </w:t>
      </w:r>
      <w:hyperlink r:id="rId2">
        <w:r>
          <w:rPr>
            <w:rStyle w:val="Hyperlink"/>
            <w:b w:val="false"/>
            <w:bCs w:val="false"/>
            <w:sz w:val="24"/>
            <w:szCs w:val="24"/>
          </w:rPr>
          <w:t>https://www.gartner.com/en/data-analytics/topics/data-literacy</w:t>
        </w:r>
      </w:hyperlink>
    </w:p>
    <w:p>
      <w:pPr>
        <w:pStyle w:val="Normal"/>
        <w:bidi w:val="0"/>
        <w:jc w:val="start"/>
        <w:rPr>
          <w:b w:val="false"/>
          <w:bCs w:val="false"/>
          <w:sz w:val="24"/>
          <w:szCs w:val="24"/>
        </w:rPr>
      </w:pPr>
      <w:r>
        <w:rPr>
          <w:b w:val="false"/>
          <w:bCs w:val="false"/>
          <w:sz w:val="24"/>
          <w:szCs w:val="24"/>
        </w:rPr>
        <w:t xml:space="preserve">Harvard Business Review (2017) What's Your Data Strategy? Available at: </w:t>
      </w:r>
      <w:hyperlink r:id="rId3">
        <w:r>
          <w:rPr>
            <w:rStyle w:val="Hyperlink"/>
            <w:b w:val="false"/>
            <w:bCs w:val="false"/>
            <w:sz w:val="24"/>
            <w:szCs w:val="24"/>
          </w:rPr>
          <w:t>https://hbr.org/2017/05/whats-your-data-strategy</w:t>
        </w:r>
      </w:hyperlink>
    </w:p>
    <w:p>
      <w:pPr>
        <w:pStyle w:val="Normal"/>
        <w:bidi w:val="0"/>
        <w:jc w:val="start"/>
        <w:rPr>
          <w:b w:val="false"/>
          <w:bCs w:val="false"/>
          <w:sz w:val="24"/>
          <w:szCs w:val="24"/>
        </w:rPr>
      </w:pPr>
      <w:r>
        <w:rPr>
          <w:b w:val="false"/>
          <w:bCs w:val="false"/>
          <w:sz w:val="24"/>
          <w:szCs w:val="24"/>
        </w:rPr>
        <w:t xml:space="preserve">Information Commissioner's Office (ICO) (2023) Guide to the UK GDPR. Available at: </w:t>
      </w:r>
      <w:hyperlink r:id="rId4">
        <w:r>
          <w:rPr>
            <w:rStyle w:val="Hyperlink"/>
            <w:b w:val="false"/>
            <w:bCs w:val="false"/>
            <w:sz w:val="24"/>
            <w:szCs w:val="24"/>
          </w:rPr>
          <w:t>https://ico.org.uk</w:t>
        </w:r>
      </w:hyperlink>
    </w:p>
    <w:p>
      <w:pPr>
        <w:pStyle w:val="Normal"/>
        <w:bidi w:val="0"/>
        <w:jc w:val="start"/>
        <w:rPr>
          <w:b w:val="false"/>
          <w:bCs w:val="false"/>
          <w:sz w:val="24"/>
          <w:szCs w:val="24"/>
        </w:rPr>
      </w:pPr>
      <w:r>
        <w:rPr>
          <w:b w:val="false"/>
          <w:bCs w:val="false"/>
          <w:sz w:val="24"/>
          <w:szCs w:val="24"/>
        </w:rPr>
        <w:t xml:space="preserve">National Audit Office (2017) Investigation: WannaCry cyber attack and the NHS. Available at: </w:t>
      </w:r>
      <w:hyperlink r:id="rId5">
        <w:r>
          <w:rPr>
            <w:rStyle w:val="Hyperlink"/>
            <w:b w:val="false"/>
            <w:bCs w:val="false"/>
            <w:sz w:val="24"/>
            <w:szCs w:val="24"/>
          </w:rPr>
          <w:t>https://www.nao.org.uk/reports/investigation-wannacry-cyber-attack-and-the-nhs/</w:t>
        </w:r>
      </w:hyperlink>
    </w:p>
    <w:p>
      <w:pPr>
        <w:pStyle w:val="Normal"/>
        <w:bidi w:val="0"/>
        <w:jc w:val="start"/>
        <w:rPr>
          <w:b w:val="false"/>
          <w:bCs w:val="false"/>
          <w:sz w:val="24"/>
          <w:szCs w:val="24"/>
        </w:rPr>
      </w:pPr>
      <w:r>
        <w:rPr>
          <w:b w:val="false"/>
          <w:bCs w:val="false"/>
          <w:sz w:val="24"/>
          <w:szCs w:val="24"/>
        </w:rPr>
        <w:t xml:space="preserve">National Cyber Security Centre (NCSC) (2023) Cyber Essentials. Available at: </w:t>
      </w:r>
      <w:hyperlink r:id="rId6">
        <w:r>
          <w:rPr>
            <w:rStyle w:val="Hyperlink"/>
            <w:b w:val="false"/>
            <w:bCs w:val="false"/>
            <w:sz w:val="24"/>
            <w:szCs w:val="24"/>
          </w:rPr>
          <w:t>https://www.ncsc.gov.uk</w:t>
        </w:r>
      </w:hyperlink>
    </w:p>
    <w:p>
      <w:pPr>
        <w:pStyle w:val="Normal"/>
        <w:bidi w:val="0"/>
        <w:jc w:val="start"/>
        <w:rPr>
          <w:b w:val="false"/>
          <w:bCs w:val="false"/>
          <w:sz w:val="24"/>
          <w:szCs w:val="24"/>
        </w:rPr>
      </w:pPr>
      <w:r>
        <w:rPr>
          <w:b w:val="false"/>
          <w:bCs w:val="false"/>
          <w:sz w:val="24"/>
          <w:szCs w:val="24"/>
        </w:rPr>
        <w:t xml:space="preserve">NHS Digital (2022) Data Security and Protection Toolkit. Available at: </w:t>
      </w:r>
      <w:hyperlink r:id="rId7">
        <w:r>
          <w:rPr>
            <w:rStyle w:val="Hyperlink"/>
            <w:b w:val="false"/>
            <w:bCs w:val="false"/>
            <w:sz w:val="24"/>
            <w:szCs w:val="24"/>
          </w:rPr>
          <w:t>https://www.dsptoolkit.nhs.uk</w:t>
        </w:r>
      </w:hyperlink>
    </w:p>
    <w:p>
      <w:pPr>
        <w:pStyle w:val="Normal"/>
        <w:bidi w:val="0"/>
        <w:jc w:val="start"/>
        <w:rPr>
          <w:b w:val="false"/>
          <w:bCs w:val="false"/>
          <w:sz w:val="24"/>
          <w:szCs w:val="24"/>
        </w:rPr>
      </w:pPr>
      <w:r>
        <w:rPr>
          <w:b w:val="false"/>
          <w:bCs w:val="false"/>
          <w:sz w:val="24"/>
          <w:szCs w:val="24"/>
        </w:rPr>
        <w:t xml:space="preserve">NHS England (2023) Records Management Code of Practice. Available at: </w:t>
      </w:r>
      <w:hyperlink r:id="rId8">
        <w:r>
          <w:rPr>
            <w:rStyle w:val="Hyperlink"/>
            <w:b w:val="false"/>
            <w:bCs w:val="false"/>
            <w:sz w:val="24"/>
            <w:szCs w:val="24"/>
          </w:rPr>
          <w:t>https://www.england.nhs.uk/ourwork/digitalhealth/records-management</w:t>
        </w:r>
      </w:hyperlink>
    </w:p>
    <w:p>
      <w:pPr>
        <w:pStyle w:val="Normal"/>
        <w:bidi w:val="0"/>
        <w:jc w:val="start"/>
        <w:rPr>
          <w:b w:val="false"/>
          <w:bCs w:val="false"/>
          <w:sz w:val="24"/>
          <w:szCs w:val="24"/>
        </w:rPr>
      </w:pPr>
      <w:r>
        <w:rPr>
          <w:b w:val="false"/>
          <w:bCs w:val="false"/>
          <w:sz w:val="24"/>
          <w:szCs w:val="24"/>
        </w:rPr>
        <w:t>Swingler, K. (2025) CSCU9D6 Data Strategy Notes. University of Stirling.</w:t>
      </w:r>
    </w:p>
    <w:p>
      <w:pPr>
        <w:pStyle w:val="Normal"/>
        <w:bidi w:val="0"/>
        <w:jc w:val="start"/>
        <w:rPr>
          <w:b w:val="false"/>
          <w:bCs w:val="false"/>
          <w:sz w:val="24"/>
          <w:szCs w:val="24"/>
        </w:rPr>
      </w:pPr>
      <w:r>
        <w:rPr>
          <w:b w:val="false"/>
          <w:bCs w:val="false"/>
          <w:sz w:val="24"/>
          <w:szCs w:val="24"/>
        </w:rPr>
        <w:t>Tallon, P.P. (2013) 'Corporate Governance of Big Data: Perspectives on Value, Risk, and Cost', Computer, 46(6), pp. 32–38.</w:t>
      </w:r>
    </w:p>
    <w:p>
      <w:pPr>
        <w:pStyle w:val="Normal"/>
        <w:bidi w:val="0"/>
        <w:jc w:val="start"/>
        <w:rPr>
          <w:b w:val="false"/>
          <w:bCs w:val="false"/>
          <w:sz w:val="24"/>
          <w:szCs w:val="24"/>
        </w:rPr>
      </w:pPr>
      <w:r>
        <w:rPr>
          <w:b w:val="false"/>
          <w:bCs w:val="false"/>
          <w:sz w:val="24"/>
          <w:szCs w:val="24"/>
        </w:rPr>
        <w:t>Wende, K. (2007) 'A Model for Data Governance — Organising Accountabilities for Data Quality Management', in Proceedings of the 18th Australasian Conference on Information Systems, pp. 1–10.</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gartner.com/en/data-analytics/topics/data-literacy" TargetMode="External"/><Relationship Id="rId3" Type="http://schemas.openxmlformats.org/officeDocument/2006/relationships/hyperlink" Target="https://hbr.org/2017/05/whats-your-data-strategy" TargetMode="External"/><Relationship Id="rId4" Type="http://schemas.openxmlformats.org/officeDocument/2006/relationships/hyperlink" Target="https://ico.org.uk/" TargetMode="External"/><Relationship Id="rId5" Type="http://schemas.openxmlformats.org/officeDocument/2006/relationships/hyperlink" Target="https://www.nao.org.uk/reports/investigation-wannacry-cyber-attack-and-the-nhs/" TargetMode="External"/><Relationship Id="rId6" Type="http://schemas.openxmlformats.org/officeDocument/2006/relationships/hyperlink" Target="https://www.ncsc.gov.uk/" TargetMode="External"/><Relationship Id="rId7" Type="http://schemas.openxmlformats.org/officeDocument/2006/relationships/hyperlink" Target="https://www.dsptoolkit.nhs.uk/" TargetMode="External"/><Relationship Id="rId8" Type="http://schemas.openxmlformats.org/officeDocument/2006/relationships/hyperlink" Target="https://www.england.nhs.uk/ourwork/digitalhealth/records-management"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407</TotalTime>
  <Application>LibreOffice/24.2.7.2$Linux_X86_64 LibreOffice_project/420$Build-2</Application>
  <AppVersion>15.0000</AppVersion>
  <Pages>9</Pages>
  <Words>4003</Words>
  <Characters>24753</Characters>
  <CharactersWithSpaces>28673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2026-02-20T14:50:27Z</dcterms:created>
  <dc:creator/>
  <dc:description/>
  <dc:language>en-GB</dc:language>
  <cp:lastModifiedBy/>
  <dcterms:modified xsi:type="dcterms:W3CDTF">2026-03-13T10:29:02Z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