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40"/>
          <w:szCs w:val="40"/>
        </w:rPr>
      </w:pPr>
      <w:r>
        <w:rPr>
          <w:b/>
          <w:bCs/>
          <w:sz w:val="40"/>
          <w:szCs w:val="40"/>
        </w:rPr>
        <w:t xml:space="preserve">Data Strategy for BrightSmile Dental Group Ltd </w:t>
      </w:r>
    </w:p>
    <w:p>
      <w:pPr>
        <w:pStyle w:val="Normal"/>
        <w:bidi w:val="0"/>
        <w:jc w:val="start"/>
        <w:rPr>
          <w:sz w:val="40"/>
          <w:szCs w:val="40"/>
        </w:rPr>
      </w:pPr>
      <w:r>
        <w:rPr>
          <w:b/>
          <w:bCs/>
          <w:sz w:val="40"/>
          <w:szCs w:val="40"/>
        </w:rPr>
        <w:t>CSC9D6 Assignment – 3115875</w:t>
      </w:r>
    </w:p>
    <w:p>
      <w:pPr>
        <w:pStyle w:val="Normal"/>
        <w:bidi w:val="0"/>
        <w:jc w:val="start"/>
        <w:rPr>
          <w:sz w:val="40"/>
          <w:szCs w:val="40"/>
        </w:rPr>
      </w:pPr>
      <w:r>
        <w:rPr>
          <w:sz w:val="40"/>
          <w:szCs w:val="40"/>
        </w:rPr>
      </w:r>
    </w:p>
    <w:p>
      <w:pPr>
        <w:pStyle w:val="Normal"/>
        <w:bidi w:val="0"/>
        <w:jc w:val="start"/>
        <w:rPr>
          <w:sz w:val="40"/>
          <w:szCs w:val="40"/>
        </w:rPr>
      </w:pPr>
      <w:r>
        <w:rPr>
          <w:b/>
          <w:bCs/>
          <w:sz w:val="40"/>
          <w:szCs w:val="40"/>
        </w:rPr>
        <w:t>Word Count: 382</w:t>
      </w:r>
      <w:r>
        <w:rPr>
          <w:b/>
          <w:bCs/>
          <w:sz w:val="40"/>
          <w:szCs w:val="40"/>
        </w:rPr>
        <w:t>8</w:t>
      </w:r>
    </w:p>
    <w:p>
      <w:pPr>
        <w:pStyle w:val="Normal"/>
        <w:bidi w:val="0"/>
        <w:jc w:val="start"/>
        <w:rPr>
          <w:b/>
          <w:bCs/>
        </w:rPr>
      </w:pPr>
      <w:r>
        <w:rPr>
          <w:b/>
          <w:bCs/>
        </w:rPr>
      </w:r>
    </w:p>
    <w:p>
      <w:pPr>
        <w:pStyle w:val="Normal"/>
        <w:bidi w:val="0"/>
        <w:jc w:val="start"/>
        <w:rPr>
          <w:sz w:val="36"/>
          <w:szCs w:val="36"/>
        </w:rPr>
      </w:pPr>
      <w:r>
        <w:rPr>
          <w:b/>
          <w:bCs/>
          <w:sz w:val="36"/>
          <w:szCs w:val="36"/>
        </w:rPr>
        <w:t>Executive Summary</w:t>
      </w:r>
    </w:p>
    <w:p>
      <w:pPr>
        <w:pStyle w:val="Normal"/>
        <w:bidi w:val="0"/>
        <w:jc w:val="start"/>
        <w:rPr>
          <w:sz w:val="24"/>
          <w:szCs w:val="24"/>
        </w:rPr>
      </w:pPr>
      <w:r>
        <w:rPr>
          <w:sz w:val="24"/>
          <w:szCs w:val="24"/>
        </w:rPr>
      </w:r>
    </w:p>
    <w:p>
      <w:pPr>
        <w:pStyle w:val="Normal"/>
        <w:bidi w:val="0"/>
        <w:jc w:val="start"/>
        <w:rPr>
          <w:sz w:val="24"/>
          <w:szCs w:val="24"/>
        </w:rPr>
      </w:pPr>
      <w:r>
        <w:rPr>
          <w:sz w:val="24"/>
          <w:szCs w:val="24"/>
        </w:rPr>
        <w:t>BrightSmile Dental Group Ltd is a growing dental care provider operating twelve clinics across England and Wales, delivering NHS and private dental services. It processes personal and special category health data for approximately 28,000 active patients alongside operational, financial, and employee records. Rapid expansion has increased both the value of its data and the risks associated with handling it incorrectly.</w:t>
      </w:r>
    </w:p>
    <w:p>
      <w:pPr>
        <w:pStyle w:val="Normal"/>
        <w:bidi w:val="0"/>
        <w:jc w:val="start"/>
        <w:rPr>
          <w:sz w:val="24"/>
          <w:szCs w:val="24"/>
        </w:rPr>
      </w:pPr>
      <w:r>
        <w:rPr>
          <w:sz w:val="24"/>
          <w:szCs w:val="24"/>
        </w:rPr>
      </w:r>
    </w:p>
    <w:p>
      <w:pPr>
        <w:pStyle w:val="Normal"/>
        <w:bidi w:val="0"/>
        <w:jc w:val="start"/>
        <w:rPr>
          <w:sz w:val="24"/>
          <w:szCs w:val="24"/>
        </w:rPr>
      </w:pPr>
      <w:r>
        <w:rPr>
          <w:sz w:val="24"/>
          <w:szCs w:val="24"/>
        </w:rPr>
        <w:t>A comprehensive review of data governance, security, compliance, and utilisation was conducted across four representative clinics through staff interviews, system inspections, review of patient documentation, and observation of administrative procedures. The audit found basic protections in place, such as firewalls, role-restricted clinical record access, and patient privacy notices. However, a consistent absence of formal governance structures was identified. The organisation maintains no Record of Processing Activities, has no documented retention schedule, shares login credentials at some sites, has no breach reporting procedure, and has not produced written data processing agreements for all third-party processors. Responsibility for data is distributed informally, meaning compliance depends on individual behaviour rather than organisational policy.</w:t>
      </w:r>
    </w:p>
    <w:p>
      <w:pPr>
        <w:pStyle w:val="Normal"/>
        <w:bidi w:val="0"/>
        <w:jc w:val="start"/>
        <w:rPr>
          <w:sz w:val="24"/>
          <w:szCs w:val="24"/>
        </w:rPr>
      </w:pPr>
      <w:r>
        <w:rPr>
          <w:sz w:val="24"/>
          <w:szCs w:val="24"/>
        </w:rPr>
      </w:r>
    </w:p>
    <w:p>
      <w:pPr>
        <w:pStyle w:val="Normal"/>
        <w:bidi w:val="0"/>
        <w:jc w:val="start"/>
        <w:rPr>
          <w:sz w:val="24"/>
          <w:szCs w:val="24"/>
        </w:rPr>
      </w:pPr>
      <w:r>
        <w:rPr>
          <w:sz w:val="24"/>
          <w:szCs w:val="24"/>
        </w:rPr>
        <w:t>Data is also significantly underutilised. It is used primarily for treatment and administration rather than operational planning or service improvement, despite the availability of appointment, treatment history, and operational data that could support predictive analytics and better resource planning and deployment.</w:t>
      </w:r>
    </w:p>
    <w:p>
      <w:pPr>
        <w:pStyle w:val="Normal"/>
        <w:bidi w:val="0"/>
        <w:jc w:val="start"/>
        <w:rPr>
          <w:sz w:val="24"/>
          <w:szCs w:val="24"/>
        </w:rPr>
      </w:pPr>
      <w:r>
        <w:rPr>
          <w:sz w:val="24"/>
          <w:szCs w:val="24"/>
        </w:rPr>
      </w:r>
    </w:p>
    <w:p>
      <w:pPr>
        <w:pStyle w:val="Normal"/>
        <w:bidi w:val="0"/>
        <w:jc w:val="start"/>
        <w:rPr>
          <w:sz w:val="24"/>
          <w:szCs w:val="24"/>
        </w:rPr>
      </w:pPr>
      <w:r>
        <w:rPr>
          <w:sz w:val="24"/>
          <w:szCs w:val="24"/>
        </w:rPr>
        <w:t>This strategy recommends introducing centralised governance, defined data roles, targeted staff training, and a unified practice management system. These measures will support compliance with the UK GDPR and Data Protection Act 2018 while enabling the organisation to use data safely and effectively as it continues to grow. The overarching goal is to move from a position where data protection depends on individual good intentions to one where it is embedded in documented processes, technology, and organisational culture.</w:t>
      </w:r>
    </w:p>
    <w:p>
      <w:pPr>
        <w:pStyle w:val="Normal"/>
        <w:bidi w:val="0"/>
        <w:jc w:val="start"/>
        <w:rPr>
          <w:sz w:val="24"/>
          <w:szCs w:val="24"/>
        </w:rPr>
      </w:pPr>
      <w:r>
        <w:rPr>
          <w:sz w:val="24"/>
          <w:szCs w:val="24"/>
        </w:rPr>
      </w:r>
    </w:p>
    <w:p>
      <w:pPr>
        <w:pStyle w:val="Normal"/>
        <w:bidi w:val="0"/>
        <w:jc w:val="start"/>
        <w:rPr>
          <w:sz w:val="36"/>
          <w:szCs w:val="36"/>
        </w:rPr>
      </w:pPr>
      <w:r>
        <w:rPr>
          <w:b/>
          <w:bCs/>
          <w:sz w:val="36"/>
          <w:szCs w:val="36"/>
        </w:rPr>
        <w:t>Data Audit</w:t>
      </w:r>
    </w:p>
    <w:p>
      <w:pPr>
        <w:pStyle w:val="Normal"/>
        <w:bidi w:val="0"/>
        <w:jc w:val="start"/>
        <w:rPr>
          <w:sz w:val="24"/>
          <w:szCs w:val="24"/>
        </w:rPr>
      </w:pPr>
      <w:r>
        <w:rPr>
          <w:sz w:val="24"/>
          <w:szCs w:val="24"/>
        </w:rPr>
      </w:r>
    </w:p>
    <w:p>
      <w:pPr>
        <w:pStyle w:val="Normal"/>
        <w:bidi w:val="0"/>
        <w:jc w:val="start"/>
        <w:rPr>
          <w:sz w:val="24"/>
          <w:szCs w:val="24"/>
        </w:rPr>
      </w:pPr>
      <w:r>
        <w:rPr>
          <w:sz w:val="24"/>
          <w:szCs w:val="24"/>
        </w:rPr>
        <w:t>A data audit was conducted to establish what data BrightSmile holds, where it is stored, who can access it, and how it is used. Without this foundation an organisation cannot ensure security, demonstrate compliance, or make reliable data-driven decisions. The audit covered four clinics over four weeks using a combination of staff interviews, review of registration forms and patient communications, inspection of IT systems and network arrangements, and direct observation of daily administrative workflows.</w:t>
      </w:r>
    </w:p>
    <w:p>
      <w:pPr>
        <w:pStyle w:val="Normal"/>
        <w:bidi w:val="0"/>
        <w:jc w:val="start"/>
        <w:rPr>
          <w:sz w:val="24"/>
          <w:szCs w:val="24"/>
        </w:rPr>
      </w:pPr>
      <w:r>
        <w:rPr>
          <w:sz w:val="24"/>
          <w:szCs w:val="24"/>
        </w:rPr>
      </w:r>
    </w:p>
    <w:p>
      <w:pPr>
        <w:pStyle w:val="Normal"/>
        <w:bidi w:val="0"/>
        <w:jc w:val="start"/>
        <w:rPr>
          <w:sz w:val="24"/>
          <w:szCs w:val="24"/>
        </w:rPr>
      </w:pPr>
      <w:r>
        <w:rPr>
          <w:sz w:val="24"/>
          <w:szCs w:val="24"/>
        </w:rPr>
        <w:t>Data enters the organisation through telephone bookings, online forms, and in-person registration, and is subsequently shared with dental laboratories, NHS reporting systems, and payment processors. No formal Record of Processing Activities is maintained, and staff understanding of retention requirements varies between sites. This is not merely a documentation gap. Without a complete map of data flows, BrightSmile can’t identify which third parties require written processor agreements under Article 28, as well as defining appropriate retention periods, and can’t respond adequately to an ICO investigation following a breach.</w:t>
      </w:r>
    </w:p>
    <w:p>
      <w:pPr>
        <w:pStyle w:val="Normal"/>
        <w:bidi w:val="0"/>
        <w:jc w:val="start"/>
        <w:rPr>
          <w:sz w:val="24"/>
          <w:szCs w:val="24"/>
        </w:rPr>
      </w:pPr>
      <w:r>
        <w:rPr>
          <w:sz w:val="24"/>
          <w:szCs w:val="24"/>
        </w:rPr>
      </w:r>
    </w:p>
    <w:p>
      <w:pPr>
        <w:pStyle w:val="Normal"/>
        <w:bidi w:val="0"/>
        <w:jc w:val="start"/>
        <w:rPr>
          <w:sz w:val="24"/>
          <w:szCs w:val="24"/>
        </w:rPr>
      </w:pPr>
      <w:r>
        <w:rPr>
          <w:sz w:val="24"/>
          <w:szCs w:val="24"/>
        </w:rPr>
        <w:t>Several reception staff maintain local spreadsheets of patient contact details outside the central system to manage appointment reminders. These represent feral data, meaning records that have escaped controlled storage and are no longer subject to the same access controls, audit logging, or deletion schedules as data held within the practice management system. Their existence means the organisation cannot provide a complete account of what personal data it holds, which directly undermines the accountability principle under UK GDPR Article 5(2). If a patient submitted a Subject Access Request today, the organisation could not be confident that its response captured every record held about that individual. The audit concluded that data processing is operationally necessary but insufficiently documented and governed.</w:t>
      </w:r>
    </w:p>
    <w:p>
      <w:pPr>
        <w:pStyle w:val="Normal"/>
        <w:bidi w:val="0"/>
        <w:jc w:val="start"/>
        <w:rPr>
          <w:sz w:val="24"/>
          <w:szCs w:val="24"/>
        </w:rPr>
      </w:pPr>
      <w:r>
        <w:rPr>
          <w:sz w:val="24"/>
          <w:szCs w:val="24"/>
        </w:rPr>
      </w:r>
    </w:p>
    <w:p>
      <w:pPr>
        <w:pStyle w:val="Normal"/>
        <w:bidi w:val="0"/>
        <w:jc w:val="start"/>
        <w:rPr>
          <w:b/>
          <w:bCs/>
          <w:sz w:val="28"/>
          <w:szCs w:val="28"/>
        </w:rPr>
      </w:pPr>
      <w:r>
        <w:rPr>
          <w:b/>
          <w:bCs/>
          <w:sz w:val="28"/>
          <w:szCs w:val="28"/>
        </w:rPr>
        <w:t>Data Assets Audit</w:t>
      </w:r>
    </w:p>
    <w:p>
      <w:pPr>
        <w:pStyle w:val="Normal"/>
        <w:bidi w:val="0"/>
        <w:jc w:val="start"/>
        <w:rPr>
          <w:sz w:val="24"/>
          <w:szCs w:val="24"/>
        </w:rPr>
      </w:pPr>
      <w:r>
        <w:rPr>
          <w:sz w:val="24"/>
          <w:szCs w:val="24"/>
        </w:rPr>
      </w:r>
    </w:p>
    <w:p>
      <w:pPr>
        <w:pStyle w:val="Normal"/>
        <w:bidi w:val="0"/>
        <w:jc w:val="start"/>
        <w:rPr>
          <w:sz w:val="24"/>
          <w:szCs w:val="24"/>
        </w:rPr>
      </w:pPr>
      <w:r>
        <w:rPr>
          <w:sz w:val="24"/>
          <w:szCs w:val="24"/>
        </w:rPr>
        <w:t>The audit identified six categories of data asset across the organisation. Their significance varies considerably, some are routine administrative records, while others, particularly special category health data, carry the highest level of regulatory obligation and the greatest potential for harm if mishandled. Data assets were classified by regulatory sensitivity and potential impact of a breach, reflecting common data classification frameworks used in healthcare environments.</w:t>
      </w:r>
    </w:p>
    <w:p>
      <w:pPr>
        <w:pStyle w:val="Normal"/>
        <w:bidi w:val="0"/>
        <w:jc w:val="start"/>
        <w:rPr>
          <w:sz w:val="24"/>
          <w:szCs w:val="24"/>
        </w:rPr>
      </w:pPr>
      <w:r>
        <w:rPr>
          <w:sz w:val="24"/>
          <w:szCs w:val="24"/>
        </w:rPr>
      </w:r>
    </w:p>
    <w:p>
      <w:pPr>
        <w:pStyle w:val="Normal"/>
        <w:bidi w:val="0"/>
        <w:jc w:val="start"/>
        <w:rPr/>
      </w:pPr>
      <w:r>
        <w:rPr>
          <w:b/>
          <w:bCs/>
          <w:sz w:val="24"/>
          <w:szCs w:val="24"/>
        </w:rPr>
        <w:t xml:space="preserve">Patient Personal Data (Medium Risk): </w:t>
      </w:r>
      <w:r>
        <w:rPr>
          <w:b w:val="false"/>
          <w:bCs w:val="false"/>
          <w:sz w:val="24"/>
          <w:szCs w:val="24"/>
        </w:rPr>
        <w:t>The organisation collects core identifying information including name, address, telephone number, email address, and date of birth. NHS patients also have their NHS number recorded. This data allows the organisation to identify patients, schedule appointments, and communicate with them.</w:t>
      </w:r>
    </w:p>
    <w:p>
      <w:pPr>
        <w:pStyle w:val="Normal"/>
        <w:bidi w:val="0"/>
        <w:jc w:val="start"/>
        <w:rPr>
          <w:sz w:val="24"/>
          <w:szCs w:val="24"/>
        </w:rPr>
      </w:pPr>
      <w:r>
        <w:rPr>
          <w:sz w:val="24"/>
          <w:szCs w:val="24"/>
        </w:rPr>
      </w:r>
    </w:p>
    <w:p>
      <w:pPr>
        <w:pStyle w:val="Normal"/>
        <w:bidi w:val="0"/>
        <w:jc w:val="start"/>
        <w:rPr/>
      </w:pPr>
      <w:r>
        <w:rPr>
          <w:b/>
          <w:bCs/>
          <w:sz w:val="24"/>
          <w:szCs w:val="24"/>
        </w:rPr>
        <w:t xml:space="preserve">Special Category Health Data (High Risk): </w:t>
      </w:r>
      <w:r>
        <w:rPr>
          <w:b w:val="false"/>
          <w:bCs w:val="false"/>
          <w:sz w:val="24"/>
          <w:szCs w:val="24"/>
        </w:rPr>
        <w:t>As a healthcare provider, BrightSmile processes highly sensitive health information including medical history, medications, allergies, examination findings, and clinical notes, all subject to heightened obligations under UK GDPR Article 9. This is the most legally significant data category the organisation holds, and a breach or misuse carries both direct harm to patients and serious regulatory consequences.</w:t>
      </w:r>
    </w:p>
    <w:p>
      <w:pPr>
        <w:pStyle w:val="Normal"/>
        <w:bidi w:val="0"/>
        <w:jc w:val="start"/>
        <w:rPr>
          <w:sz w:val="24"/>
          <w:szCs w:val="24"/>
        </w:rPr>
      </w:pPr>
      <w:r>
        <w:rPr>
          <w:sz w:val="24"/>
          <w:szCs w:val="24"/>
        </w:rPr>
      </w:r>
    </w:p>
    <w:p>
      <w:pPr>
        <w:pStyle w:val="Normal"/>
        <w:bidi w:val="0"/>
        <w:jc w:val="start"/>
        <w:rPr/>
      </w:pPr>
      <w:r>
        <w:rPr>
          <w:b/>
          <w:bCs/>
          <w:sz w:val="24"/>
          <w:szCs w:val="24"/>
        </w:rPr>
        <w:t xml:space="preserve">Dental Imaging Data (High Risk): </w:t>
      </w:r>
      <w:r>
        <w:rPr>
          <w:b w:val="false"/>
          <w:bCs w:val="false"/>
          <w:sz w:val="24"/>
          <w:szCs w:val="24"/>
        </w:rPr>
        <w:t>Clinics collect digital radiographs and intra-oral photographs stored on local imaging servers and shared with dental laboratories. These files are large, clinically urgent, and frequently needed across treatment rooms, which explains why USB transfer workarounds have become normalised despite the security risks they introduce.</w:t>
      </w:r>
    </w:p>
    <w:p>
      <w:pPr>
        <w:pStyle w:val="Normal"/>
        <w:bidi w:val="0"/>
        <w:jc w:val="start"/>
        <w:rPr>
          <w:sz w:val="24"/>
          <w:szCs w:val="24"/>
        </w:rPr>
      </w:pPr>
      <w:r>
        <w:rPr>
          <w:sz w:val="24"/>
          <w:szCs w:val="24"/>
        </w:rPr>
      </w:r>
    </w:p>
    <w:p>
      <w:pPr>
        <w:pStyle w:val="Normal"/>
        <w:bidi w:val="0"/>
        <w:jc w:val="start"/>
        <w:rPr/>
      </w:pPr>
      <w:r>
        <w:rPr>
          <w:b/>
          <w:bCs/>
          <w:sz w:val="24"/>
          <w:szCs w:val="24"/>
        </w:rPr>
        <w:t xml:space="preserve">Appointment and Operational Data (Medium Risk): </w:t>
      </w:r>
      <w:r>
        <w:rPr>
          <w:b w:val="false"/>
          <w:bCs w:val="false"/>
          <w:sz w:val="24"/>
          <w:szCs w:val="24"/>
        </w:rPr>
        <w:t>Administrative systems record appointments, cancellations, waiting lists, automated reminders, and missed appointment history. This data has significant untapped analytical value for identifying demand patterns and reducing non-attendance.</w:t>
      </w:r>
    </w:p>
    <w:p>
      <w:pPr>
        <w:pStyle w:val="Normal"/>
        <w:bidi w:val="0"/>
        <w:jc w:val="start"/>
        <w:rPr>
          <w:sz w:val="24"/>
          <w:szCs w:val="24"/>
        </w:rPr>
      </w:pPr>
      <w:r>
        <w:rPr>
          <w:sz w:val="24"/>
          <w:szCs w:val="24"/>
        </w:rPr>
      </w:r>
    </w:p>
    <w:p>
      <w:pPr>
        <w:pStyle w:val="Normal"/>
        <w:bidi w:val="0"/>
        <w:jc w:val="start"/>
        <w:rPr/>
      </w:pPr>
      <w:r>
        <w:rPr>
          <w:b/>
          <w:bCs/>
          <w:sz w:val="24"/>
          <w:szCs w:val="24"/>
        </w:rPr>
        <w:t xml:space="preserve">Financial Data (High Risk): </w:t>
      </w:r>
      <w:r>
        <w:rPr>
          <w:b w:val="false"/>
          <w:bCs w:val="false"/>
          <w:sz w:val="24"/>
          <w:szCs w:val="24"/>
        </w:rPr>
        <w:t>The organisation processes payment records, invoices, and insurance claims. Card payments are handled via third-party processors, but transaction records remain stored within practice systems.</w:t>
      </w:r>
    </w:p>
    <w:p>
      <w:pPr>
        <w:pStyle w:val="Normal"/>
        <w:bidi w:val="0"/>
        <w:jc w:val="start"/>
        <w:rPr>
          <w:sz w:val="24"/>
          <w:szCs w:val="24"/>
        </w:rPr>
      </w:pPr>
      <w:r>
        <w:rPr>
          <w:sz w:val="24"/>
          <w:szCs w:val="24"/>
        </w:rPr>
      </w:r>
    </w:p>
    <w:p>
      <w:pPr>
        <w:pStyle w:val="Normal"/>
        <w:bidi w:val="0"/>
        <w:jc w:val="start"/>
        <w:rPr/>
      </w:pPr>
      <w:r>
        <w:rPr>
          <w:b/>
          <w:bCs/>
          <w:sz w:val="24"/>
          <w:szCs w:val="24"/>
        </w:rPr>
        <w:t xml:space="preserve">Human Resources Data (High Risk): </w:t>
      </w:r>
      <w:r>
        <w:rPr>
          <w:b w:val="false"/>
          <w:bCs w:val="false"/>
          <w:sz w:val="24"/>
          <w:szCs w:val="24"/>
        </w:rPr>
        <w:t>Employee records include contracts, payroll, professional registrations, training certificates, and Disclosure and Barring Service checks.</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Key Findings</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Key weaknesses included duplicate patient records across clinics, inconsistent naming conventions between systems, locally held spreadsheets outside central systems, and no consistent retention schedule. These issues undermine data quality across its three core dimensions of correctness, completeness, and currency. Reliable decision-making and safe clinical care both depend on records being accurate and up to date, and without a single source of truth the organisation cannot safely rely on its data for operational reporting or service planning.</w:t>
      </w:r>
    </w:p>
    <w:p>
      <w:pPr>
        <w:pStyle w:val="Normal"/>
        <w:bidi w:val="0"/>
        <w:jc w:val="start"/>
        <w:rPr>
          <w:sz w:val="24"/>
          <w:szCs w:val="24"/>
        </w:rPr>
      </w:pPr>
      <w:r>
        <w:rPr>
          <w:sz w:val="24"/>
          <w:szCs w:val="24"/>
        </w:rPr>
      </w:r>
    </w:p>
    <w:p>
      <w:pPr>
        <w:pStyle w:val="Normal"/>
        <w:bidi w:val="0"/>
        <w:jc w:val="start"/>
        <w:rPr>
          <w:b/>
          <w:bCs/>
          <w:sz w:val="28"/>
          <w:szCs w:val="28"/>
        </w:rPr>
      </w:pPr>
      <w:r>
        <w:rPr>
          <w:b/>
          <w:bCs/>
          <w:sz w:val="28"/>
          <w:szCs w:val="28"/>
        </w:rPr>
        <w:t>Data Security Audit</w:t>
      </w:r>
    </w:p>
    <w:p>
      <w:pPr>
        <w:pStyle w:val="Normal"/>
        <w:bidi w:val="0"/>
        <w:jc w:val="start"/>
        <w:rPr>
          <w:sz w:val="24"/>
          <w:szCs w:val="24"/>
        </w:rPr>
      </w:pPr>
      <w:r>
        <w:rPr>
          <w:sz w:val="24"/>
          <w:szCs w:val="24"/>
        </w:rPr>
      </w:r>
    </w:p>
    <w:p>
      <w:pPr>
        <w:pStyle w:val="Normal"/>
        <w:bidi w:val="0"/>
        <w:jc w:val="start"/>
        <w:rPr>
          <w:sz w:val="24"/>
          <w:szCs w:val="24"/>
        </w:rPr>
      </w:pPr>
      <w:r>
        <w:rPr>
          <w:sz w:val="24"/>
          <w:szCs w:val="24"/>
        </w:rPr>
        <w:t>The security review was structured around the NCSC Cyber Essentials framework, which defines five controls against the most common cyber attacks, firewalls, secure configuration, access control, malware protection, and patch management. Cyber Essentials was selected as it is a government-backed baseline and aligns directly with NHS Digital's Data Security and Protection Toolkit requirements, which apply to BrightSmile as an NHS connected provider.</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Strengths</w:t>
      </w:r>
    </w:p>
    <w:p>
      <w:pPr>
        <w:pStyle w:val="Normal"/>
        <w:bidi w:val="0"/>
        <w:jc w:val="start"/>
        <w:rPr>
          <w:sz w:val="24"/>
          <w:szCs w:val="24"/>
        </w:rPr>
      </w:pPr>
      <w:r>
        <w:rPr>
          <w:sz w:val="24"/>
          <w:szCs w:val="24"/>
        </w:rPr>
      </w:r>
    </w:p>
    <w:p>
      <w:pPr>
        <w:pStyle w:val="Normal"/>
        <w:bidi w:val="0"/>
        <w:jc w:val="start"/>
        <w:rPr>
          <w:sz w:val="24"/>
          <w:szCs w:val="24"/>
        </w:rPr>
      </w:pPr>
      <w:r>
        <w:rPr>
          <w:sz w:val="24"/>
          <w:szCs w:val="24"/>
        </w:rPr>
        <w:t>Hardware firewalls are in place at all twelve sites, antivirus software is centrally managed, and daily encrypted backups are performed to an off-site cloud location. Access to clinical records is restricted by role, dentists and nurses can view and update clinical notes, while reception staff are limited to appointment and contact data. This tiered approach reflects the principle of least privilege and is appropriate for the sensitivity of health data processed under Article 9.</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Weaknesses</w:t>
      </w:r>
    </w:p>
    <w:p>
      <w:pPr>
        <w:pStyle w:val="Normal"/>
        <w:bidi w:val="0"/>
        <w:jc w:val="start"/>
        <w:rPr>
          <w:sz w:val="24"/>
          <w:szCs w:val="24"/>
        </w:rPr>
      </w:pPr>
      <w:r>
        <w:rPr>
          <w:sz w:val="24"/>
          <w:szCs w:val="24"/>
        </w:rPr>
      </w:r>
    </w:p>
    <w:p>
      <w:pPr>
        <w:pStyle w:val="Normal"/>
        <w:bidi w:val="0"/>
        <w:jc w:val="start"/>
        <w:rPr>
          <w:sz w:val="24"/>
          <w:szCs w:val="24"/>
        </w:rPr>
      </w:pPr>
      <w:r>
        <w:rPr>
          <w:sz w:val="24"/>
          <w:szCs w:val="24"/>
        </w:rPr>
        <w:t>At two clinics, reception staff shared a single login for the booking system, removing individual accountability and preventing effective audit logging. This directly violates the Cyber Essentials access control requirement and makes it impossible to identify who was responsible in the event of a breach, which is a serious gap given the ICO's accountability expectations under Article 5(2).</w:t>
      </w:r>
    </w:p>
    <w:p>
      <w:pPr>
        <w:pStyle w:val="Normal"/>
        <w:bidi w:val="0"/>
        <w:jc w:val="start"/>
        <w:rPr>
          <w:sz w:val="24"/>
          <w:szCs w:val="24"/>
        </w:rPr>
      </w:pPr>
      <w:r>
        <w:rPr>
          <w:sz w:val="24"/>
          <w:szCs w:val="24"/>
        </w:rPr>
        <w:t>At three sites, patient-facing Wi-Fi shared the same network segment as clinical workstations, meaning a malicious actor on the guest network could potentially reach imaging servers without further authentication. Cyber Essentials explicitly requires network segregation between untrusted and sensitive systems.</w:t>
      </w:r>
    </w:p>
    <w:p>
      <w:pPr>
        <w:pStyle w:val="Normal"/>
        <w:bidi w:val="0"/>
        <w:jc w:val="start"/>
        <w:rPr>
          <w:sz w:val="24"/>
          <w:szCs w:val="24"/>
        </w:rPr>
      </w:pPr>
      <w:r>
        <w:rPr>
          <w:sz w:val="24"/>
          <w:szCs w:val="24"/>
        </w:rPr>
      </w:r>
    </w:p>
    <w:p>
      <w:pPr>
        <w:pStyle w:val="Normal"/>
        <w:bidi w:val="0"/>
        <w:jc w:val="start"/>
        <w:rPr>
          <w:sz w:val="24"/>
          <w:szCs w:val="24"/>
        </w:rPr>
      </w:pPr>
      <w:r>
        <w:rPr>
          <w:sz w:val="24"/>
          <w:szCs w:val="24"/>
        </w:rPr>
        <w:t>Patch management was inconsistent, several workstations ran dental imaging software that had not received vendor updates for over fourteen months. Delayed patching is a common ransomware entry point. The famous WannaCry attack, which affected a third of NHS trusts and cancelled approximately 19,000 appointments (National Audit Office, 2017), illustrating the scale of disruption this risk carries in clinical settings.</w:t>
      </w:r>
    </w:p>
    <w:p>
      <w:pPr>
        <w:pStyle w:val="Normal"/>
        <w:bidi w:val="0"/>
        <w:jc w:val="start"/>
        <w:rPr>
          <w:sz w:val="24"/>
          <w:szCs w:val="24"/>
        </w:rPr>
      </w:pPr>
      <w:r>
        <w:rPr>
          <w:sz w:val="24"/>
          <w:szCs w:val="24"/>
        </w:rPr>
      </w:r>
    </w:p>
    <w:p>
      <w:pPr>
        <w:pStyle w:val="Normal"/>
        <w:bidi w:val="0"/>
        <w:jc w:val="start"/>
        <w:rPr>
          <w:sz w:val="24"/>
          <w:szCs w:val="24"/>
        </w:rPr>
      </w:pPr>
      <w:r>
        <w:rPr>
          <w:sz w:val="24"/>
          <w:szCs w:val="24"/>
        </w:rPr>
        <w:t>USB devices were routinely used to transfer imaging files between treatment rooms, bypassing the access controls and audit trail of the central imaging server. This workaround has become normalised because the current infrastructure does not support the speed clinical workflows require. Any remediation must address that usability gap directly, or staff will find alternative workarounds.</w:t>
      </w:r>
    </w:p>
    <w:p>
      <w:pPr>
        <w:pStyle w:val="Normal"/>
        <w:bidi w:val="0"/>
        <w:jc w:val="start"/>
        <w:rPr>
          <w:sz w:val="24"/>
          <w:szCs w:val="24"/>
        </w:rPr>
      </w:pPr>
      <w:r>
        <w:rPr>
          <w:sz w:val="24"/>
          <w:szCs w:val="24"/>
        </w:rPr>
      </w:r>
    </w:p>
    <w:p>
      <w:pPr>
        <w:pStyle w:val="Normal"/>
        <w:bidi w:val="0"/>
        <w:jc w:val="start"/>
        <w:rPr>
          <w:b/>
          <w:bCs/>
          <w:sz w:val="28"/>
          <w:szCs w:val="28"/>
        </w:rPr>
      </w:pPr>
      <w:r>
        <w:rPr>
          <w:b/>
          <w:bCs/>
          <w:sz w:val="28"/>
          <w:szCs w:val="28"/>
        </w:rPr>
        <w:t>Data Protection and Compliance Audit</w:t>
      </w:r>
    </w:p>
    <w:p>
      <w:pPr>
        <w:pStyle w:val="Normal"/>
        <w:bidi w:val="0"/>
        <w:jc w:val="start"/>
        <w:rPr>
          <w:sz w:val="24"/>
          <w:szCs w:val="24"/>
        </w:rPr>
      </w:pPr>
      <w:r>
        <w:rPr>
          <w:sz w:val="24"/>
          <w:szCs w:val="24"/>
        </w:rPr>
      </w:r>
    </w:p>
    <w:p>
      <w:pPr>
        <w:pStyle w:val="Normal"/>
        <w:bidi w:val="0"/>
        <w:jc w:val="start"/>
        <w:rPr>
          <w:sz w:val="24"/>
          <w:szCs w:val="24"/>
        </w:rPr>
      </w:pPr>
      <w:r>
        <w:rPr>
          <w:sz w:val="24"/>
          <w:szCs w:val="24"/>
        </w:rPr>
        <w:t>BrightSmile acts as a data controller under the UK GDPR and Data Protection Act 2018, processing special category health data for a large patient population.</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Areas of Good Practice</w:t>
      </w:r>
    </w:p>
    <w:p>
      <w:pPr>
        <w:pStyle w:val="Normal"/>
        <w:bidi w:val="0"/>
        <w:jc w:val="start"/>
        <w:rPr>
          <w:sz w:val="24"/>
          <w:szCs w:val="24"/>
        </w:rPr>
      </w:pPr>
      <w:r>
        <w:rPr>
          <w:sz w:val="24"/>
          <w:szCs w:val="24"/>
        </w:rPr>
      </w:r>
    </w:p>
    <w:p>
      <w:pPr>
        <w:pStyle w:val="Normal"/>
        <w:bidi w:val="0"/>
        <w:jc w:val="start"/>
        <w:rPr>
          <w:sz w:val="24"/>
          <w:szCs w:val="24"/>
        </w:rPr>
      </w:pPr>
      <w:r>
        <w:rPr>
          <w:sz w:val="24"/>
          <w:szCs w:val="24"/>
        </w:rPr>
        <w:t>Patients receive a privacy notice covering data sharing with laboratories, insurers, and NHS services, satisfying the transparency principle. Clinical records are restricted to dentists and nurses, with reception staff limited to booking and contact data, reflecting role-based access in line with the integrity and confidentiality principle. Data collection is broadly limited to what is necessary for treatment and administration, aligning with data minimisation.</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Areas for Improvement</w:t>
      </w:r>
    </w:p>
    <w:p>
      <w:pPr>
        <w:pStyle w:val="Normal"/>
        <w:bidi w:val="0"/>
        <w:jc w:val="start"/>
        <w:rPr>
          <w:sz w:val="24"/>
          <w:szCs w:val="24"/>
        </w:rPr>
      </w:pPr>
      <w:r>
        <w:rPr>
          <w:sz w:val="24"/>
          <w:szCs w:val="24"/>
        </w:rPr>
      </w:r>
    </w:p>
    <w:p>
      <w:pPr>
        <w:pStyle w:val="Normal"/>
        <w:bidi w:val="0"/>
        <w:jc w:val="start"/>
        <w:rPr>
          <w:sz w:val="24"/>
          <w:szCs w:val="24"/>
        </w:rPr>
      </w:pPr>
      <w:r>
        <w:rPr>
          <w:sz w:val="24"/>
          <w:szCs w:val="24"/>
        </w:rPr>
        <w:t>The organisation does not maintain a Record of Processing Activities, nor does it formally document its lawful bases for processing, as required by Article 30. In practice, most processing relies on contract performance for treatment provision, legal obligation for NHS reporting, and provision of healthcare for special category data, but none of this is recorded. This weakens the ability to demonstrate accountability under Article 5(2) and means the organisation could not readily prepare a defensible response to an ICO inquiry following a breach. There is no documented Subject Access Request procedure, and staff were unaware of the one-month statutory response window, creating a direct compliance risk should a request be received.</w:t>
      </w:r>
    </w:p>
    <w:p>
      <w:pPr>
        <w:pStyle w:val="Normal"/>
        <w:bidi w:val="0"/>
        <w:jc w:val="start"/>
        <w:rPr>
          <w:sz w:val="24"/>
          <w:szCs w:val="24"/>
        </w:rPr>
      </w:pPr>
      <w:r>
        <w:rPr>
          <w:sz w:val="24"/>
          <w:szCs w:val="24"/>
        </w:rPr>
      </w:r>
    </w:p>
    <w:p>
      <w:pPr>
        <w:pStyle w:val="Normal"/>
        <w:bidi w:val="0"/>
        <w:jc w:val="start"/>
        <w:rPr>
          <w:sz w:val="24"/>
          <w:szCs w:val="24"/>
        </w:rPr>
      </w:pPr>
      <w:r>
        <w:rPr>
          <w:sz w:val="24"/>
          <w:szCs w:val="24"/>
        </w:rPr>
        <w:t>Retention practices are inconsistent and, in some cases, non-compliant. BrightSmile is subject to the NHS England Records Management Code of Practice, which specifies a minimum ten-year retention period from the date of last treatment, or until the patient's 25th birthday if longer. Indefinite retention beyond that period breaches the storage limitation principle. Inconsistent deletion across sites also means the organisation cannot confirm that all copies of a record, including those in local spreadsheets and email inboxes, have been removed at the appropriate time. Written data processing agreements are absent for several third-party processors contrary to Article 28, and some patient data is transmitted via unencrypted email, presenting an unnecessary confidentiality risk for highly sensitive health information.</w:t>
      </w:r>
    </w:p>
    <w:p>
      <w:pPr>
        <w:pStyle w:val="Normal"/>
        <w:bidi w:val="0"/>
        <w:jc w:val="start"/>
        <w:rPr>
          <w:sz w:val="24"/>
          <w:szCs w:val="24"/>
        </w:rPr>
      </w:pPr>
      <w:r>
        <w:rPr>
          <w:sz w:val="24"/>
          <w:szCs w:val="24"/>
        </w:rPr>
      </w:r>
    </w:p>
    <w:p>
      <w:pPr>
        <w:pStyle w:val="Normal"/>
        <w:bidi w:val="0"/>
        <w:jc w:val="start"/>
        <w:rPr>
          <w:sz w:val="36"/>
          <w:szCs w:val="36"/>
        </w:rPr>
      </w:pPr>
      <w:r>
        <w:rPr>
          <w:b/>
          <w:bCs/>
          <w:sz w:val="36"/>
          <w:szCs w:val="36"/>
        </w:rPr>
        <w:t>Data Utilisation and Data Protection</w:t>
      </w:r>
    </w:p>
    <w:p>
      <w:pPr>
        <w:pStyle w:val="Normal"/>
        <w:bidi w:val="0"/>
        <w:jc w:val="start"/>
        <w:rPr>
          <w:sz w:val="24"/>
          <w:szCs w:val="24"/>
        </w:rPr>
      </w:pPr>
      <w:r>
        <w:rPr>
          <w:sz w:val="24"/>
          <w:szCs w:val="24"/>
        </w:rPr>
      </w:r>
    </w:p>
    <w:p>
      <w:pPr>
        <w:pStyle w:val="Normal"/>
        <w:bidi w:val="0"/>
        <w:jc w:val="start"/>
        <w:rPr>
          <w:sz w:val="24"/>
          <w:szCs w:val="24"/>
        </w:rPr>
      </w:pPr>
      <w:r>
        <w:rPr>
          <w:sz w:val="24"/>
          <w:szCs w:val="24"/>
        </w:rPr>
        <w:t>A core tension in any data strategy is what the Harvard Business Review (2017) describes as defence versus offence, defensive strategies prioritise security and compliance, while offensive strategies maximise data availability to support decision-making and operational improvement. Getting this balance wrong in either direction is costly. Excessive restriction will continue driving informal workarounds that create compliance risk, as seen in BrightSmile's local spreadsheets, verbal clinical handovers between sites, and USB file transfers. Excessive openness increases the consequences of a breach and the risk of processing data beyond its permitted purpose.</w:t>
      </w:r>
    </w:p>
    <w:p>
      <w:pPr>
        <w:pStyle w:val="Normal"/>
        <w:bidi w:val="0"/>
        <w:jc w:val="start"/>
        <w:rPr>
          <w:sz w:val="24"/>
          <w:szCs w:val="24"/>
        </w:rPr>
      </w:pPr>
      <w:r>
        <w:rPr>
          <w:sz w:val="24"/>
          <w:szCs w:val="24"/>
        </w:rPr>
      </w:r>
    </w:p>
    <w:p>
      <w:pPr>
        <w:pStyle w:val="Normal"/>
        <w:bidi w:val="0"/>
        <w:jc w:val="start"/>
        <w:rPr>
          <w:sz w:val="24"/>
          <w:szCs w:val="24"/>
        </w:rPr>
      </w:pPr>
      <w:r>
        <w:rPr>
          <w:sz w:val="24"/>
          <w:szCs w:val="24"/>
        </w:rPr>
        <w:t>The goal should be a single source of truth, storing each data element once and making it accessible to authorised staff through controlled channels. This approach makes protection and usability mutually reinforcing rather than competing (Tallon, 2013). Clinicians can access accurate records from any site without resorting to workarounds, while security controls and access permissions prevent unauthorised use. It also eliminates the data quality problems caused by maintaining multiple partial copies of patient information across sites, which is a prerequisite for any reliable operational analytics.</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Current Utilisation and New Opportunities</w:t>
      </w:r>
    </w:p>
    <w:p>
      <w:pPr>
        <w:pStyle w:val="Normal"/>
        <w:bidi w:val="0"/>
        <w:jc w:val="start"/>
        <w:rPr>
          <w:sz w:val="24"/>
          <w:szCs w:val="24"/>
        </w:rPr>
      </w:pPr>
      <w:r>
        <w:rPr>
          <w:sz w:val="24"/>
          <w:szCs w:val="24"/>
        </w:rPr>
      </w:r>
    </w:p>
    <w:p>
      <w:pPr>
        <w:pStyle w:val="Normal"/>
        <w:bidi w:val="0"/>
        <w:jc w:val="start"/>
        <w:rPr>
          <w:sz w:val="24"/>
          <w:szCs w:val="24"/>
        </w:rPr>
      </w:pPr>
      <w:r>
        <w:rPr>
          <w:sz w:val="24"/>
          <w:szCs w:val="24"/>
        </w:rPr>
        <w:t>BrightSmile currently uses data descriptively, in that patient records support treatment, appointment systems manage bookings, and financial records support billing and insurance claims. This represents the lowest tier of analytical value. Data is stored but not actively interrogated to inform decisions or improve services.</w:t>
      </w:r>
    </w:p>
    <w:p>
      <w:pPr>
        <w:pStyle w:val="Normal"/>
        <w:bidi w:val="0"/>
        <w:jc w:val="start"/>
        <w:rPr>
          <w:sz w:val="24"/>
          <w:szCs w:val="24"/>
        </w:rPr>
      </w:pPr>
      <w:r>
        <w:rPr>
          <w:sz w:val="24"/>
          <w:szCs w:val="24"/>
        </w:rPr>
      </w:r>
    </w:p>
    <w:p>
      <w:pPr>
        <w:pStyle w:val="Normal"/>
        <w:bidi w:val="0"/>
        <w:jc w:val="start"/>
        <w:rPr>
          <w:sz w:val="24"/>
          <w:szCs w:val="24"/>
        </w:rPr>
      </w:pPr>
      <w:r>
        <w:rPr>
          <w:sz w:val="24"/>
          <w:szCs w:val="24"/>
        </w:rPr>
        <w:t>With appropriate governance in place, the organisation has clear opportunities to move toward predictive analytics. Appointment records could identify patterns in non-attendance and allow targeted reminder interventions for higher-risk patients. Treatment histories could flag individuals at elevated risk of periodontal disease or other recurring conditions, supporting preventive care programmes that reduce both clinical risk and long-term treatment costs. Stock usage data could be aligned with treatment volumes to reduce waste, and staffing levels could be matched to peak demand periods identified from appointment data. These applications require no new data collection, only better use of data already held, allowing better use of resources throughout the organisation.</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Data Protection Issues for Utilisation</w:t>
      </w:r>
    </w:p>
    <w:p>
      <w:pPr>
        <w:pStyle w:val="Normal"/>
        <w:bidi w:val="0"/>
        <w:jc w:val="start"/>
        <w:rPr>
          <w:sz w:val="24"/>
          <w:szCs w:val="24"/>
        </w:rPr>
      </w:pPr>
      <w:r>
        <w:rPr>
          <w:sz w:val="24"/>
          <w:szCs w:val="24"/>
        </w:rPr>
      </w:r>
    </w:p>
    <w:p>
      <w:pPr>
        <w:pStyle w:val="Normal"/>
        <w:bidi w:val="0"/>
        <w:jc w:val="start"/>
        <w:rPr>
          <w:sz w:val="24"/>
          <w:szCs w:val="24"/>
        </w:rPr>
      </w:pPr>
      <w:r>
        <w:rPr>
          <w:sz w:val="24"/>
          <w:szCs w:val="24"/>
        </w:rPr>
        <w:t>Expanded data use introduces additional obligations that must be addressed before any analytical programme begins. Using patient records to identify behavioural patterns, such as likelihood of missing an appointment, may constitute profiling under the UK GDPR, and patients may not expect their health information to be used beyond direct treatment purposes. Any expanded use must have a clearly documented lawful basis and must be assessed for compatibility with the original purpose of collection under the purpose limitation principle.</w:t>
      </w:r>
    </w:p>
    <w:p>
      <w:pPr>
        <w:pStyle w:val="Normal"/>
        <w:bidi w:val="0"/>
        <w:jc w:val="start"/>
        <w:rPr>
          <w:sz w:val="24"/>
          <w:szCs w:val="24"/>
        </w:rPr>
      </w:pPr>
      <w:r>
        <w:rPr>
          <w:sz w:val="24"/>
          <w:szCs w:val="24"/>
        </w:rPr>
      </w:r>
    </w:p>
    <w:p>
      <w:pPr>
        <w:pStyle w:val="Normal"/>
        <w:bidi w:val="0"/>
        <w:jc w:val="start"/>
        <w:rPr>
          <w:sz w:val="24"/>
          <w:szCs w:val="24"/>
        </w:rPr>
      </w:pPr>
      <w:r>
        <w:rPr>
          <w:sz w:val="24"/>
          <w:szCs w:val="24"/>
        </w:rPr>
        <w:t>Where profiling or predictive modelling is involved, a DPIA is mandatory under Article 35. Analytical work should use pseudonymised or anonymised data wherever possible, and automated outputs should include human oversight to prevent unfair outcomes. Combining datasets also increases the potential impact of a breach, so access to analytical environments should be strictly controlled and separate from operational systems.</w:t>
      </w:r>
    </w:p>
    <w:p>
      <w:pPr>
        <w:pStyle w:val="Normal"/>
        <w:bidi w:val="0"/>
        <w:jc w:val="start"/>
        <w:rPr>
          <w:sz w:val="24"/>
          <w:szCs w:val="24"/>
        </w:rPr>
      </w:pPr>
      <w:r>
        <w:rPr>
          <w:sz w:val="24"/>
          <w:szCs w:val="24"/>
        </w:rPr>
      </w:r>
    </w:p>
    <w:p>
      <w:pPr>
        <w:pStyle w:val="Normal"/>
        <w:bidi w:val="0"/>
        <w:jc w:val="start"/>
        <w:rPr>
          <w:sz w:val="36"/>
          <w:szCs w:val="36"/>
        </w:rPr>
      </w:pPr>
      <w:r>
        <w:rPr>
          <w:b/>
          <w:bCs/>
          <w:sz w:val="36"/>
          <w:szCs w:val="36"/>
        </w:rPr>
        <w:t>Data Team and Data Culture</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Summary of Current Organisational Structure and Data Roles</w:t>
      </w:r>
    </w:p>
    <w:p>
      <w:pPr>
        <w:pStyle w:val="Normal"/>
        <w:bidi w:val="0"/>
        <w:jc w:val="start"/>
        <w:rPr>
          <w:b/>
          <w:bCs/>
          <w:sz w:val="26"/>
          <w:szCs w:val="26"/>
        </w:rPr>
      </w:pPr>
      <w:r>
        <w:rPr>
          <w:b/>
          <w:bCs/>
          <w:sz w:val="26"/>
          <w:szCs w:val="26"/>
        </w:rPr>
      </w:r>
    </w:p>
    <w:p>
      <w:pPr>
        <w:pStyle w:val="Normal"/>
        <w:bidi w:val="0"/>
        <w:jc w:val="start"/>
        <w:rPr>
          <w:sz w:val="24"/>
          <w:szCs w:val="24"/>
        </w:rPr>
      </w:pPr>
      <w:r>
        <w:rPr>
          <w:sz w:val="24"/>
          <w:szCs w:val="24"/>
        </w:rPr>
        <w:t>BrightSmile has no dedicated data team. Responsibility is distributed informally across practice managers, clinical leads, and an external IT provider. The organisation has no formally appointed Data Owner, Data Steward, or Data Protection Lead, role types identified by Wende (2007) as essential accountability structures for effective data governance. The Head of Operations acts as a de-facto data owner for HR and financial records, and clinical leads exercise informal stewardship over patient records, but neither role carries a formal mandate or accountability mechanism.</w:t>
      </w:r>
    </w:p>
    <w:p>
      <w:pPr>
        <w:pStyle w:val="Normal"/>
        <w:bidi w:val="0"/>
        <w:jc w:val="start"/>
        <w:rPr>
          <w:sz w:val="24"/>
          <w:szCs w:val="24"/>
        </w:rPr>
      </w:pPr>
      <w:r>
        <w:rPr>
          <w:sz w:val="24"/>
          <w:szCs w:val="24"/>
        </w:rPr>
      </w:r>
    </w:p>
    <w:p>
      <w:pPr>
        <w:pStyle w:val="Normal"/>
        <w:bidi w:val="0"/>
        <w:jc w:val="start"/>
        <w:rPr>
          <w:sz w:val="24"/>
          <w:szCs w:val="24"/>
        </w:rPr>
      </w:pPr>
      <w:r>
        <w:rPr>
          <w:sz w:val="24"/>
          <w:szCs w:val="24"/>
        </w:rPr>
        <w:t>The external IT provider fulfils a technical custodian function but has no data governance responsibilities under its current contract, and no written data processing agreement is in place, which is a compliance gap under Article 28. Practice managers operate independently, which explains the inconsistencies in retention practices, naming conventions, and local data storage documented across sites.</w:t>
      </w:r>
    </w:p>
    <w:p>
      <w:pPr>
        <w:pStyle w:val="Normal"/>
        <w:bidi w:val="0"/>
        <w:jc w:val="start"/>
        <w:rPr>
          <w:sz w:val="24"/>
          <w:szCs w:val="24"/>
        </w:rPr>
      </w:pPr>
      <w:r>
        <w:rPr>
          <w:sz w:val="24"/>
          <w:szCs w:val="24"/>
        </w:rPr>
      </w:r>
    </w:p>
    <w:p>
      <w:pPr>
        <w:pStyle w:val="Normal"/>
        <w:bidi w:val="0"/>
        <w:jc w:val="start"/>
        <w:rPr>
          <w:b/>
          <w:bCs/>
          <w:sz w:val="26"/>
          <w:szCs w:val="26"/>
        </w:rPr>
      </w:pPr>
      <w:r>
        <w:rPr>
          <w:b/>
          <w:bCs/>
          <w:sz w:val="26"/>
          <w:szCs w:val="26"/>
        </w:rPr>
        <w:t>Assessment of Current Data Literacy and Culture</w:t>
      </w:r>
    </w:p>
    <w:p>
      <w:pPr>
        <w:pStyle w:val="Normal"/>
        <w:bidi w:val="0"/>
        <w:jc w:val="start"/>
        <w:rPr>
          <w:sz w:val="24"/>
          <w:szCs w:val="24"/>
        </w:rPr>
      </w:pPr>
      <w:r>
        <w:rPr>
          <w:sz w:val="24"/>
          <w:szCs w:val="24"/>
        </w:rPr>
      </w:r>
    </w:p>
    <w:p>
      <w:pPr>
        <w:pStyle w:val="Normal"/>
        <w:bidi w:val="0"/>
        <w:jc w:val="start"/>
        <w:rPr>
          <w:sz w:val="24"/>
          <w:szCs w:val="24"/>
        </w:rPr>
      </w:pPr>
      <w:r>
        <w:rPr>
          <w:sz w:val="24"/>
          <w:szCs w:val="24"/>
        </w:rPr>
        <w:t>Data literacy was assessed using three methods, a written quiz which was given to 31 staff across the four audit clinics, direct observation of workflows, and semi-structured interviews with practice managers and clinical leads. The quiz covered core GDPR principles, Subject Access Request procedures, phishing recognition, secure email practices, and breach reporting, scored on a five-point scale.</w:t>
      </w:r>
    </w:p>
    <w:p>
      <w:pPr>
        <w:pStyle w:val="Normal"/>
        <w:bidi w:val="0"/>
        <w:jc w:val="start"/>
        <w:rPr>
          <w:sz w:val="24"/>
          <w:szCs w:val="24"/>
        </w:rPr>
      </w:pPr>
      <w:r>
        <w:rPr>
          <w:sz w:val="24"/>
          <w:szCs w:val="24"/>
        </w:rPr>
      </w:r>
    </w:p>
    <w:p>
      <w:pPr>
        <w:pStyle w:val="Normal"/>
        <w:bidi w:val="0"/>
        <w:jc w:val="start"/>
        <w:rPr>
          <w:sz w:val="24"/>
          <w:szCs w:val="24"/>
        </w:rPr>
      </w:pPr>
      <w:r>
        <w:rPr>
          <w:sz w:val="24"/>
          <w:szCs w:val="24"/>
        </w:rPr>
        <w:t>Clinical staff averaged 4.1 out of 5, reflecting strong professional confidentiality training embedded in General Dental Council registration requirements. However, only 4 of 14 correctly identified the one-month SAR response window. Administrative staff averaged 2.6 out of 5, only 3 of 17 identified a simulated phishing email, and none could describe the breach reporting procedure. Interviews confirmed that practice managers viewed data protection as a clinical responsibility rather than an organisational one, and several were unaware of the legal basis for processing special category data. One described maintaining a local spreadsheet as “just easier than logging into the main system from the front desk”, illustrating how usability gaps may drive compliance risk.</w:t>
      </w:r>
    </w:p>
    <w:p>
      <w:pPr>
        <w:pStyle w:val="Normal"/>
        <w:bidi w:val="0"/>
        <w:jc w:val="start"/>
        <w:rPr>
          <w:sz w:val="24"/>
          <w:szCs w:val="24"/>
        </w:rPr>
      </w:pPr>
      <w:r>
        <w:rPr>
          <w:sz w:val="24"/>
          <w:szCs w:val="24"/>
        </w:rPr>
      </w:r>
    </w:p>
    <w:p>
      <w:pPr>
        <w:pStyle w:val="Normal"/>
        <w:bidi w:val="0"/>
        <w:jc w:val="start"/>
        <w:rPr>
          <w:sz w:val="24"/>
          <w:szCs w:val="24"/>
        </w:rPr>
      </w:pPr>
      <w:r>
        <w:rPr>
          <w:sz w:val="24"/>
          <w:szCs w:val="24"/>
        </w:rPr>
        <w:t>Using Gartner's definition (Gartner, 2022) of data literacy as the ability to read, write, and communicate data in context, the workforce scores well on confidentiality but poorly on governance and analytical dimensions. The organisation has a culture of professional care but not yet a standardised data culture, staff do not treat data as an organisational asset with defined governance requirements, and there is no shared vocabulary around data handling beyond individual professional judgement. This matters practically as well as conceptually, a good data culture depends on four main elements, data access, data skills, data tools, and communication. BrightSmile currently scores poorly on all four. Access is impeded by fragmented systems, skills gaps are evident from the quiz results, tools are inconsistent between sites, and there is no formal communication channel for data governance matters. Building a data culture requires deliberate investment in each of these dimensions, which the recommendations below are designed to address.</w:t>
      </w:r>
    </w:p>
    <w:p>
      <w:pPr>
        <w:pStyle w:val="Normal"/>
        <w:bidi w:val="0"/>
        <w:jc w:val="start"/>
        <w:rPr>
          <w:sz w:val="24"/>
          <w:szCs w:val="24"/>
        </w:rPr>
      </w:pPr>
      <w:r>
        <w:rPr>
          <w:sz w:val="24"/>
          <w:szCs w:val="24"/>
        </w:rPr>
      </w:r>
    </w:p>
    <w:p>
      <w:pPr>
        <w:pStyle w:val="Normal"/>
        <w:bidi w:val="0"/>
        <w:jc w:val="start"/>
        <w:rPr>
          <w:sz w:val="24"/>
          <w:szCs w:val="24"/>
        </w:rPr>
      </w:pPr>
      <w:r>
        <w:rPr>
          <w:sz w:val="24"/>
          <w:szCs w:val="24"/>
        </w:rPr>
        <w:t>The data practices observed during this audit raise ethical obligations that go beyond legal compliance. Patients share highly sensitive health information with BrightSmile in the context of a care relationship where they have little practical choice about whether to do so, and that creates a duty of care that extends beyond avoiding regulatory breach (Bélanger and Crossler, 2011). The normalisation of informal workarounds and the absence of staff training are not merely compliance failures, they reflect an organisation that has not yet recognised data stewardship as an ethical responsibility. Good data governance must therefore include an ethical dimension, ensuring that staff understand not just what the rules require, but why those rules exist and what is at stake for patients when they are not followed.</w:t>
      </w:r>
    </w:p>
    <w:p>
      <w:pPr>
        <w:pStyle w:val="Normal"/>
        <w:bidi w:val="0"/>
        <w:jc w:val="start"/>
        <w:rPr>
          <w:sz w:val="24"/>
          <w:szCs w:val="24"/>
        </w:rPr>
      </w:pPr>
      <w:r>
        <w:rPr>
          <w:sz w:val="24"/>
          <w:szCs w:val="24"/>
        </w:rPr>
      </w:r>
    </w:p>
    <w:p>
      <w:pPr>
        <w:pStyle w:val="Normal"/>
        <w:bidi w:val="0"/>
        <w:jc w:val="start"/>
        <w:rPr>
          <w:sz w:val="36"/>
          <w:szCs w:val="36"/>
        </w:rPr>
      </w:pPr>
      <w:r>
        <w:rPr>
          <w:b/>
          <w:bCs/>
          <w:sz w:val="36"/>
          <w:szCs w:val="36"/>
        </w:rPr>
        <w:t>Recommendations</w:t>
      </w:r>
    </w:p>
    <w:p>
      <w:pPr>
        <w:pStyle w:val="Normal"/>
        <w:bidi w:val="0"/>
        <w:jc w:val="start"/>
        <w:rPr>
          <w:sz w:val="32"/>
          <w:szCs w:val="32"/>
        </w:rPr>
      </w:pPr>
      <w:r>
        <w:rPr>
          <w:sz w:val="32"/>
          <w:szCs w:val="32"/>
        </w:rPr>
      </w:r>
    </w:p>
    <w:p>
      <w:pPr>
        <w:pStyle w:val="Normal"/>
        <w:bidi w:val="0"/>
        <w:jc w:val="start"/>
        <w:rPr>
          <w:sz w:val="24"/>
          <w:szCs w:val="24"/>
        </w:rPr>
      </w:pPr>
      <w:r>
        <w:rPr>
          <w:sz w:val="24"/>
          <w:szCs w:val="24"/>
        </w:rPr>
        <w:t>The findings of this report reveal a consistent underlying problem. BrightSmile's data practices have grown organically alongside the organisation rather than being purposefully designed, resulting in reasonable individual behaviour without the governance infrastructure to ensure consistency, compliance, or effective use of data at scale. Establishing a Record of Processing Activities must come first, because without a complete picture of what data is held and on what legal basis it is impossible to write a defensible retention schedule or identify gaps in processor agreements. Role definitions must be in place before training can be targeted effectively, and governance foundations must be established before any expanded data utilisation is attempted. Each recommendation therefore builds on the one before it and are organised into Data, People, and Technology.</w:t>
      </w:r>
    </w:p>
    <w:p>
      <w:pPr>
        <w:pStyle w:val="Normal"/>
        <w:bidi w:val="0"/>
        <w:jc w:val="start"/>
        <w:rPr>
          <w:sz w:val="24"/>
          <w:szCs w:val="24"/>
        </w:rPr>
      </w:pPr>
      <w:r>
        <w:rPr>
          <w:sz w:val="24"/>
          <w:szCs w:val="24"/>
        </w:rPr>
      </w:r>
    </w:p>
    <w:p>
      <w:pPr>
        <w:pStyle w:val="Normal"/>
        <w:bidi w:val="0"/>
        <w:jc w:val="start"/>
        <w:rPr>
          <w:sz w:val="28"/>
          <w:szCs w:val="28"/>
        </w:rPr>
      </w:pPr>
      <w:r>
        <w:rPr>
          <w:b/>
          <w:bCs/>
          <w:sz w:val="28"/>
          <w:szCs w:val="28"/>
        </w:rPr>
        <w:t>1. Data</w:t>
      </w:r>
    </w:p>
    <w:p>
      <w:pPr>
        <w:pStyle w:val="Normal"/>
        <w:bidi w:val="0"/>
        <w:jc w:val="start"/>
        <w:rPr>
          <w:sz w:val="24"/>
          <w:szCs w:val="24"/>
        </w:rPr>
      </w:pPr>
      <w:r>
        <w:rPr>
          <w:sz w:val="24"/>
          <w:szCs w:val="24"/>
        </w:rPr>
      </w:r>
    </w:p>
    <w:p>
      <w:pPr>
        <w:pStyle w:val="Normal"/>
        <w:bidi w:val="0"/>
        <w:jc w:val="start"/>
        <w:rPr>
          <w:b/>
          <w:bCs/>
        </w:rPr>
      </w:pPr>
      <w:r>
        <w:rPr>
          <w:b/>
          <w:bCs/>
          <w:sz w:val="24"/>
          <w:szCs w:val="24"/>
        </w:rPr>
        <w:t>1.1  Establish a Record of Processing Activities</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A Record of Processing Activities (ROPA) is a legal requirement under Article 30 and is the prerequisite for all other governance work. Without it the organisation cannot write a defensible retention schedule, identify gaps in processor agreements, or respond adequately to Subject Access Requests. For BrightSmile this means documenting at minimum six processing activities: patient registration, clinical treatment, NHS reporting, laboratory referrals, payment processing, and HR records, each with its lawful basis, storage location, third-party recipients, and planned retention period. This document must be completed before other governance initiatives proceed, as it surfaces the information on which all subsequent actions depend.</w:t>
      </w:r>
    </w:p>
    <w:p>
      <w:pPr>
        <w:pStyle w:val="Normal"/>
        <w:bidi w:val="0"/>
        <w:jc w:val="start"/>
        <w:rPr>
          <w:sz w:val="24"/>
          <w:szCs w:val="24"/>
        </w:rPr>
      </w:pPr>
      <w:r>
        <w:rPr>
          <w:sz w:val="24"/>
          <w:szCs w:val="24"/>
        </w:rPr>
      </w:r>
    </w:p>
    <w:p>
      <w:pPr>
        <w:pStyle w:val="Normal"/>
        <w:bidi w:val="0"/>
        <w:jc w:val="start"/>
        <w:rPr>
          <w:b/>
          <w:bCs/>
        </w:rPr>
      </w:pPr>
      <w:r>
        <w:rPr>
          <w:b/>
          <w:bCs/>
          <w:sz w:val="24"/>
          <w:szCs w:val="24"/>
        </w:rPr>
        <w:t>1.2  Implement a Retention Schedule</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BrightSmile processes NHS dental records and is subject to the NHS England Records Management Code of Practice, which specifies a minimum ten-year retention period from the date of last treatment, or until the patient's 25th birthday if that is longer. The current practice of indefinite retention at some clinics directly breaches the storage limitation principle. Records approaching their minimum retention period should be flagged for clinical review before deletion, given the possibility of ongoing relevance, rather than deleted automatically.</w:t>
      </w:r>
    </w:p>
    <w:p>
      <w:pPr>
        <w:pStyle w:val="Normal"/>
        <w:bidi w:val="0"/>
        <w:jc w:val="start"/>
        <w:rPr>
          <w:sz w:val="24"/>
          <w:szCs w:val="24"/>
        </w:rPr>
      </w:pPr>
      <w:r>
        <w:rPr>
          <w:sz w:val="24"/>
          <w:szCs w:val="24"/>
        </w:rPr>
      </w:r>
    </w:p>
    <w:p>
      <w:pPr>
        <w:pStyle w:val="Normal"/>
        <w:bidi w:val="0"/>
        <w:jc w:val="start"/>
        <w:rPr>
          <w:b/>
          <w:bCs/>
        </w:rPr>
      </w:pPr>
      <w:r>
        <w:rPr>
          <w:b/>
          <w:bCs/>
          <w:sz w:val="24"/>
          <w:szCs w:val="24"/>
        </w:rPr>
        <w:t>1.3  Conduct DPIAs Before Expanding Data Utilisation</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Any analytics programme or predictive modelling involving patient data requires a Data Protection Impact Assessment under Article 35, which is mandatory where processing is likely to result in high risk to individuals. This applies directly to the two highest-value opportunities identified in this report: using appointment data to predict non-attendance, and analysing treatment histories to flag periodontal risk. Both constitute profiling of patients and require a DPIA, using the ICO’s structured template, before any analytical work begins.</w:t>
      </w:r>
    </w:p>
    <w:p>
      <w:pPr>
        <w:pStyle w:val="Normal"/>
        <w:bidi w:val="0"/>
        <w:jc w:val="start"/>
        <w:rPr>
          <w:b w:val="false"/>
          <w:bCs w:val="false"/>
        </w:rPr>
      </w:pPr>
      <w:r>
        <w:rPr>
          <w:b w:val="false"/>
          <w:bCs w:val="false"/>
        </w:rPr>
      </w:r>
    </w:p>
    <w:p>
      <w:pPr>
        <w:pStyle w:val="Normal"/>
        <w:bidi w:val="0"/>
        <w:jc w:val="start"/>
        <w:rPr>
          <w:b/>
          <w:bCs/>
        </w:rPr>
      </w:pPr>
      <w:r>
        <w:rPr>
          <w:b/>
          <w:bCs/>
          <w:sz w:val="24"/>
          <w:szCs w:val="24"/>
        </w:rPr>
        <w:t>1.4  Formalise Data Sharing Agreements and Introduce Data Classification</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Written processor agreements must be in place with all third parties, including dental laboratories, the IT provider, and payment processors, as required by Article 28. Unencrypted email transmission of patient data should be replaced with NHS Mail. BrightSmile’s imaging data and special category health records should be classified as Restricted, appointment and operational data as Internal, and anonymised analytics outputs as Open, with metadata recording the lawful basis, allowable uses, and retention period for each dataset, directly supporting the purpose limitation and accountability principles of the UK GDPR.</w:t>
      </w:r>
    </w:p>
    <w:p>
      <w:pPr>
        <w:pStyle w:val="Normal"/>
        <w:bidi w:val="0"/>
        <w:jc w:val="start"/>
        <w:rPr>
          <w:sz w:val="24"/>
          <w:szCs w:val="24"/>
        </w:rPr>
      </w:pPr>
      <w:r>
        <w:rPr>
          <w:sz w:val="24"/>
          <w:szCs w:val="24"/>
        </w:rPr>
      </w:r>
    </w:p>
    <w:p>
      <w:pPr>
        <w:pStyle w:val="Normal"/>
        <w:bidi w:val="0"/>
        <w:jc w:val="start"/>
        <w:rPr>
          <w:sz w:val="28"/>
          <w:szCs w:val="28"/>
        </w:rPr>
      </w:pPr>
      <w:r>
        <w:rPr>
          <w:b/>
          <w:bCs/>
          <w:sz w:val="28"/>
          <w:szCs w:val="28"/>
        </w:rPr>
        <w:t>2. People</w:t>
      </w:r>
    </w:p>
    <w:p>
      <w:pPr>
        <w:pStyle w:val="Normal"/>
        <w:bidi w:val="0"/>
        <w:jc w:val="start"/>
        <w:rPr>
          <w:sz w:val="24"/>
          <w:szCs w:val="24"/>
        </w:rPr>
      </w:pPr>
      <w:r>
        <w:rPr>
          <w:sz w:val="24"/>
          <w:szCs w:val="24"/>
        </w:rPr>
      </w:r>
    </w:p>
    <w:p>
      <w:pPr>
        <w:pStyle w:val="Normal"/>
        <w:bidi w:val="0"/>
        <w:jc w:val="start"/>
        <w:rPr>
          <w:b/>
          <w:bCs/>
        </w:rPr>
      </w:pPr>
      <w:r>
        <w:rPr>
          <w:b/>
          <w:bCs/>
          <w:sz w:val="24"/>
          <w:szCs w:val="24"/>
        </w:rPr>
        <w:t>2.1  Appoint a Data Protection Lead</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BrightSmile should designate a senior Data Protection Lead with clear responsibility for compliance oversight, ICO liaison, incident escalation, and quarterly governance review. Given the organisation’s multi-site processing of substantial volumes of special category health data, formal leadership in this area is necessary regardless of whether a statutory obligation to appoint a Data Protection Officer is ultimately triggered under Article 37 UK GDPR. Without a named individual with sufficient authority, time, and reporting lines, the accountability gaps identified in this audit, no SAR procedure, no breach reporting process, and no processor agreements for several third parties, are likely to persist as the organisation grows.</w:t>
      </w:r>
    </w:p>
    <w:p>
      <w:pPr>
        <w:pStyle w:val="Normal"/>
        <w:bidi w:val="0"/>
        <w:jc w:val="start"/>
        <w:rPr>
          <w:sz w:val="24"/>
          <w:szCs w:val="24"/>
        </w:rPr>
      </w:pPr>
      <w:r>
        <w:rPr>
          <w:sz w:val="24"/>
          <w:szCs w:val="24"/>
        </w:rPr>
      </w:r>
    </w:p>
    <w:p>
      <w:pPr>
        <w:pStyle w:val="Normal"/>
        <w:bidi w:val="0"/>
        <w:jc w:val="start"/>
        <w:rPr>
          <w:b/>
          <w:bCs/>
        </w:rPr>
      </w:pPr>
      <w:r>
        <w:rPr>
          <w:b/>
          <w:bCs/>
          <w:sz w:val="24"/>
          <w:szCs w:val="24"/>
        </w:rPr>
        <w:t>2.2  Define Data Roles</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Three role types should be formally introduced. The Head of Operations is the natural Data Owner for HR and financial data; practice managers at each of the twelve sites should be designated Data Stewards, formalising the informal stewardship role they currently fulfil without mandate. Data Users, clinical and administrative staff, should have defined access rights documented in an updated staff handbook, replacing the current ad hoc arrangements that have allowed shared logins and local spreadsheets to persist.</w:t>
      </w:r>
    </w:p>
    <w:p>
      <w:pPr>
        <w:pStyle w:val="Normal"/>
        <w:bidi w:val="0"/>
        <w:jc w:val="start"/>
        <w:rPr>
          <w:b w:val="false"/>
          <w:bCs w:val="false"/>
        </w:rPr>
      </w:pPr>
      <w:r>
        <w:rPr>
          <w:b w:val="false"/>
          <w:bCs w:val="false"/>
        </w:rPr>
      </w:r>
    </w:p>
    <w:p>
      <w:pPr>
        <w:pStyle w:val="Normal"/>
        <w:bidi w:val="0"/>
        <w:jc w:val="start"/>
        <w:rPr>
          <w:b/>
          <w:bCs/>
        </w:rPr>
      </w:pPr>
      <w:r>
        <w:rPr>
          <w:b/>
          <w:bCs/>
          <w:sz w:val="24"/>
          <w:szCs w:val="24"/>
        </w:rPr>
        <w:t>2.3  Implement Mandatory Annual Training</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All staff should complete annual training covering UK GDPR obligations, Subject Access Request time-frames, phishing recognition, secure email practices, and breach reporting. Training should be differentiated by role, clinical staff need targeted content on lawful bases for processing health data, while administrative staff need practical guidance on data minimisation and avoiding informal workarounds. The specific gaps identified, no administrative staff able to describe the breach procedure, and only 3 of 17 identifying a simulated phishing email, should form the learning objectives for the first training cycle, with a repeat of the five-point quiz used to measure improvement. Completion should be recorded and treated as a compliance control rather than a discretionary activity, and new staff should complete training before being granted access to patient data.</w:t>
      </w:r>
    </w:p>
    <w:p>
      <w:pPr>
        <w:pStyle w:val="Normal"/>
        <w:bidi w:val="0"/>
        <w:jc w:val="start"/>
        <w:rPr>
          <w:sz w:val="24"/>
          <w:szCs w:val="24"/>
        </w:rPr>
      </w:pPr>
      <w:r>
        <w:rPr>
          <w:sz w:val="24"/>
          <w:szCs w:val="24"/>
        </w:rPr>
      </w:r>
    </w:p>
    <w:p>
      <w:pPr>
        <w:pStyle w:val="Normal"/>
        <w:bidi w:val="0"/>
        <w:jc w:val="start"/>
        <w:rPr>
          <w:sz w:val="28"/>
          <w:szCs w:val="28"/>
        </w:rPr>
      </w:pPr>
      <w:r>
        <w:rPr>
          <w:b/>
          <w:bCs/>
          <w:sz w:val="28"/>
          <w:szCs w:val="28"/>
        </w:rPr>
        <w:t>3. Technology</w:t>
      </w:r>
    </w:p>
    <w:p>
      <w:pPr>
        <w:pStyle w:val="Normal"/>
        <w:bidi w:val="0"/>
        <w:jc w:val="start"/>
        <w:rPr>
          <w:sz w:val="24"/>
          <w:szCs w:val="24"/>
        </w:rPr>
      </w:pPr>
      <w:r>
        <w:rPr>
          <w:sz w:val="24"/>
          <w:szCs w:val="24"/>
        </w:rPr>
      </w:r>
    </w:p>
    <w:p>
      <w:pPr>
        <w:pStyle w:val="Normal"/>
        <w:bidi w:val="0"/>
        <w:jc w:val="start"/>
        <w:rPr>
          <w:b/>
          <w:bCs/>
        </w:rPr>
      </w:pPr>
      <w:r>
        <w:rPr>
          <w:b/>
          <w:bCs/>
          <w:sz w:val="24"/>
          <w:szCs w:val="24"/>
        </w:rPr>
        <w:t>3.1  Implement a Unified Practice Management System</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Replacing the current mix of local systems with a single cloud-hosted platform is the highest-impact technical investment available to the organisation. A unified system eliminates duplicate records, enforces consistent data entry, and removes the operational incentive for local spreadsheets by making cross-clinic data accessible through authorised channels. It also directly addresses the root cause of the USB imaging workaround: if files are accessible from any treatment room through the central system at clinical speed, the security risk disappears without requiring staff behaviour change. Any replacement system must be evaluated against NHS Digital’s DSPT requirements before procurement, and a data processing agreement signed with the vendor prior to migration.</w:t>
      </w:r>
    </w:p>
    <w:p>
      <w:pPr>
        <w:pStyle w:val="Normal"/>
        <w:bidi w:val="0"/>
        <w:jc w:val="start"/>
        <w:rPr>
          <w:b w:val="false"/>
          <w:bCs w:val="false"/>
        </w:rPr>
      </w:pPr>
      <w:r>
        <w:rPr>
          <w:b w:val="false"/>
          <w:bCs w:val="false"/>
        </w:rPr>
      </w:r>
    </w:p>
    <w:p>
      <w:pPr>
        <w:pStyle w:val="Normal"/>
        <w:bidi w:val="0"/>
        <w:jc w:val="start"/>
        <w:rPr>
          <w:b/>
          <w:bCs/>
        </w:rPr>
      </w:pPr>
      <w:r>
        <w:rPr>
          <w:b/>
          <w:bCs/>
          <w:sz w:val="24"/>
          <w:szCs w:val="24"/>
        </w:rPr>
        <w:t>3.2  Achieve Cyber Essentials Plus Certification</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The verified Cyber Essentials Plus route is recommended given the sensitivity of data processed. Certification will require network segregation at the three sites sharing patient and staff Wi-Fi, elimination of shared booking logins at two clinics, a patch schedule covering the fourteen-month imaging software backlog, and USB restriction on clinical workstations, are all scoped within the standard Cyber Essentials Plus assessment process. It also provides evidence of reasonable security measures in any subsequent ICO investigation.</w:t>
      </w:r>
    </w:p>
    <w:p>
      <w:pPr>
        <w:pStyle w:val="Normal"/>
        <w:bidi w:val="0"/>
        <w:jc w:val="start"/>
        <w:rPr>
          <w:b w:val="false"/>
          <w:bCs w:val="false"/>
        </w:rPr>
      </w:pPr>
      <w:r>
        <w:rPr>
          <w:b w:val="false"/>
          <w:bCs w:val="false"/>
        </w:rPr>
      </w:r>
    </w:p>
    <w:p>
      <w:pPr>
        <w:pStyle w:val="Normal"/>
        <w:bidi w:val="0"/>
        <w:jc w:val="start"/>
        <w:rPr>
          <w:b/>
          <w:bCs/>
        </w:rPr>
      </w:pPr>
      <w:r>
        <w:rPr>
          <w:b/>
          <w:bCs/>
          <w:sz w:val="24"/>
          <w:szCs w:val="24"/>
        </w:rPr>
        <w:t>3.3  Encrypt Data and Establish an Incident Response Plan</w:t>
      </w:r>
    </w:p>
    <w:p>
      <w:pPr>
        <w:pStyle w:val="Normal"/>
        <w:bidi w:val="0"/>
        <w:jc w:val="start"/>
        <w:rPr>
          <w:sz w:val="24"/>
          <w:szCs w:val="24"/>
        </w:rPr>
      </w:pPr>
      <w:r>
        <w:rPr>
          <w:sz w:val="24"/>
          <w:szCs w:val="24"/>
        </w:rPr>
      </w:r>
    </w:p>
    <w:p>
      <w:pPr>
        <w:pStyle w:val="Normal"/>
        <w:bidi w:val="0"/>
        <w:jc w:val="start"/>
        <w:rPr>
          <w:b w:val="false"/>
          <w:bCs w:val="false"/>
        </w:rPr>
      </w:pPr>
      <w:r>
        <w:rPr>
          <w:b w:val="false"/>
          <w:bCs w:val="false"/>
          <w:sz w:val="24"/>
          <w:szCs w:val="24"/>
        </w:rPr>
        <w:t>Sensitive data should be encrypted at rest and in transit under the integrity and confidentiality principle, and a breach response procedure must define the escalation path to the Data Protection Lead and ICO notification within 72 hours under Article 33. A tabletop ransomware exercise should follow within six months. Given BrightSmile’s exposure, unpatched software, shared credentials, and unsegregated networks and the audit finding that no staff could describe the breach procedure, it functions as a training intervention as much as a plan test.</w:t>
      </w:r>
    </w:p>
    <w:p>
      <w:pPr>
        <w:pStyle w:val="Normal"/>
        <w:bidi w:val="0"/>
        <w:jc w:val="start"/>
        <w:rPr>
          <w:b w:val="false"/>
          <w:bCs w:val="false"/>
          <w:sz w:val="24"/>
          <w:szCs w:val="24"/>
        </w:rPr>
      </w:pPr>
      <w:r>
        <w:rPr>
          <w:b w:val="false"/>
          <w:bCs w:val="false"/>
          <w:sz w:val="24"/>
          <w:szCs w:val="24"/>
        </w:rPr>
      </w:r>
    </w:p>
    <w:p>
      <w:pPr>
        <w:pStyle w:val="Normal"/>
        <w:bidi w:val="0"/>
        <w:jc w:val="start"/>
        <w:rPr>
          <w:sz w:val="36"/>
          <w:szCs w:val="36"/>
        </w:rPr>
      </w:pPr>
      <w:r>
        <w:rPr>
          <w:b/>
          <w:bCs/>
          <w:sz w:val="36"/>
          <w:szCs w:val="36"/>
        </w:rPr>
        <w:t>References</w:t>
      </w:r>
    </w:p>
    <w:p>
      <w:pPr>
        <w:pStyle w:val="Normal"/>
        <w:bidi w:val="0"/>
        <w:jc w:val="start"/>
        <w:rPr>
          <w:b/>
          <w:bCs/>
          <w:sz w:val="32"/>
          <w:szCs w:val="32"/>
        </w:rPr>
      </w:pPr>
      <w:r>
        <w:rPr>
          <w:b/>
          <w:bCs/>
          <w:sz w:val="32"/>
          <w:szCs w:val="32"/>
        </w:rPr>
      </w:r>
    </w:p>
    <w:p>
      <w:pPr>
        <w:pStyle w:val="Normal"/>
        <w:bidi w:val="0"/>
        <w:jc w:val="start"/>
        <w:rPr>
          <w:b w:val="false"/>
          <w:bCs w:val="false"/>
          <w:sz w:val="24"/>
          <w:szCs w:val="24"/>
        </w:rPr>
      </w:pPr>
      <w:r>
        <w:rPr>
          <w:b w:val="false"/>
          <w:bCs w:val="false"/>
          <w:sz w:val="24"/>
          <w:szCs w:val="24"/>
        </w:rPr>
        <w:t>Bélanger, F. and Crossler, R.E. (2011) 'Privacy in the Digital Age: A Review of Information Privacy Research in Information Systems', MIS Quarterly, 35(4), pp. 1017–1041.</w:t>
      </w:r>
    </w:p>
    <w:p>
      <w:pPr>
        <w:pStyle w:val="Normal"/>
        <w:bidi w:val="0"/>
        <w:jc w:val="start"/>
        <w:rPr>
          <w:b w:val="false"/>
          <w:bCs w:val="false"/>
          <w:sz w:val="24"/>
          <w:szCs w:val="24"/>
        </w:rPr>
      </w:pPr>
      <w:r>
        <w:rPr>
          <w:b w:val="false"/>
          <w:bCs w:val="false"/>
          <w:sz w:val="24"/>
          <w:szCs w:val="24"/>
        </w:rPr>
        <w:t xml:space="preserve">Gartner (2022) Data Literacy. Available at: </w:t>
      </w:r>
      <w:hyperlink r:id="rId2">
        <w:r>
          <w:rPr>
            <w:rStyle w:val="Hyperlink"/>
            <w:b w:val="false"/>
            <w:bCs w:val="false"/>
            <w:sz w:val="24"/>
            <w:szCs w:val="24"/>
          </w:rPr>
          <w:t>https://www.gartner.com/en/data-analytics/topics/data-literacy</w:t>
        </w:r>
      </w:hyperlink>
    </w:p>
    <w:p>
      <w:pPr>
        <w:pStyle w:val="Normal"/>
        <w:bidi w:val="0"/>
        <w:jc w:val="start"/>
        <w:rPr>
          <w:b w:val="false"/>
          <w:bCs w:val="false"/>
          <w:sz w:val="24"/>
          <w:szCs w:val="24"/>
        </w:rPr>
      </w:pPr>
      <w:r>
        <w:rPr>
          <w:b w:val="false"/>
          <w:bCs w:val="false"/>
          <w:sz w:val="24"/>
          <w:szCs w:val="24"/>
        </w:rPr>
        <w:t xml:space="preserve">Harvard Business Review (2017) What's Your Data Strategy? Available at: </w:t>
      </w:r>
      <w:hyperlink r:id="rId3">
        <w:r>
          <w:rPr>
            <w:rStyle w:val="Hyperlink"/>
            <w:b w:val="false"/>
            <w:bCs w:val="false"/>
            <w:sz w:val="24"/>
            <w:szCs w:val="24"/>
          </w:rPr>
          <w:t>https://hbr.org/2017/05/whats-your-data-strategy</w:t>
        </w:r>
      </w:hyperlink>
    </w:p>
    <w:p>
      <w:pPr>
        <w:pStyle w:val="Normal"/>
        <w:bidi w:val="0"/>
        <w:jc w:val="start"/>
        <w:rPr>
          <w:b w:val="false"/>
          <w:bCs w:val="false"/>
          <w:sz w:val="24"/>
          <w:szCs w:val="24"/>
        </w:rPr>
      </w:pPr>
      <w:r>
        <w:rPr>
          <w:b w:val="false"/>
          <w:bCs w:val="false"/>
          <w:sz w:val="24"/>
          <w:szCs w:val="24"/>
        </w:rPr>
        <w:t xml:space="preserve">Information Commissioner's Office (ICO) (2023) Guide to the UK GDPR. Available at: </w:t>
      </w:r>
      <w:hyperlink r:id="rId4">
        <w:r>
          <w:rPr>
            <w:rStyle w:val="Hyperlink"/>
            <w:b w:val="false"/>
            <w:bCs w:val="false"/>
            <w:sz w:val="24"/>
            <w:szCs w:val="24"/>
          </w:rPr>
          <w:t>https://ico.org.uk</w:t>
        </w:r>
      </w:hyperlink>
    </w:p>
    <w:p>
      <w:pPr>
        <w:pStyle w:val="Normal"/>
        <w:bidi w:val="0"/>
        <w:jc w:val="start"/>
        <w:rPr>
          <w:b w:val="false"/>
          <w:bCs w:val="false"/>
          <w:sz w:val="24"/>
          <w:szCs w:val="24"/>
        </w:rPr>
      </w:pPr>
      <w:r>
        <w:rPr>
          <w:b w:val="false"/>
          <w:bCs w:val="false"/>
          <w:sz w:val="24"/>
          <w:szCs w:val="24"/>
        </w:rPr>
        <w:t xml:space="preserve">National Audit Office (2017) Investigation: WannaCry cyber attack and the NHS. Available at: </w:t>
      </w:r>
      <w:hyperlink r:id="rId5">
        <w:r>
          <w:rPr>
            <w:rStyle w:val="Hyperlink"/>
            <w:b w:val="false"/>
            <w:bCs w:val="false"/>
            <w:sz w:val="24"/>
            <w:szCs w:val="24"/>
          </w:rPr>
          <w:t>https://www.nao.org.uk/reports/investigation-wannacry-cyber-attack-and-the-nhs/</w:t>
        </w:r>
      </w:hyperlink>
    </w:p>
    <w:p>
      <w:pPr>
        <w:pStyle w:val="Normal"/>
        <w:bidi w:val="0"/>
        <w:jc w:val="start"/>
        <w:rPr>
          <w:b w:val="false"/>
          <w:bCs w:val="false"/>
          <w:sz w:val="24"/>
          <w:szCs w:val="24"/>
        </w:rPr>
      </w:pPr>
      <w:r>
        <w:rPr>
          <w:b w:val="false"/>
          <w:bCs w:val="false"/>
          <w:sz w:val="24"/>
          <w:szCs w:val="24"/>
        </w:rPr>
        <w:t xml:space="preserve">National Cyber Security Centre (NCSC) (2023) Cyber Essentials. Available at: </w:t>
      </w:r>
      <w:hyperlink r:id="rId6">
        <w:r>
          <w:rPr>
            <w:rStyle w:val="Hyperlink"/>
            <w:b w:val="false"/>
            <w:bCs w:val="false"/>
            <w:sz w:val="24"/>
            <w:szCs w:val="24"/>
          </w:rPr>
          <w:t>https://www.ncsc.gov.uk</w:t>
        </w:r>
      </w:hyperlink>
    </w:p>
    <w:p>
      <w:pPr>
        <w:pStyle w:val="Normal"/>
        <w:bidi w:val="0"/>
        <w:jc w:val="start"/>
        <w:rPr>
          <w:b w:val="false"/>
          <w:bCs w:val="false"/>
          <w:sz w:val="24"/>
          <w:szCs w:val="24"/>
        </w:rPr>
      </w:pPr>
      <w:r>
        <w:rPr>
          <w:b w:val="false"/>
          <w:bCs w:val="false"/>
          <w:sz w:val="24"/>
          <w:szCs w:val="24"/>
        </w:rPr>
        <w:t xml:space="preserve">NHS Digital (2022) Data Security and Protection Toolkit. Available at: </w:t>
      </w:r>
      <w:hyperlink r:id="rId7">
        <w:r>
          <w:rPr>
            <w:rStyle w:val="Hyperlink"/>
            <w:b w:val="false"/>
            <w:bCs w:val="false"/>
            <w:sz w:val="24"/>
            <w:szCs w:val="24"/>
          </w:rPr>
          <w:t>https://www.dsptoolkit.nhs.uk</w:t>
        </w:r>
      </w:hyperlink>
    </w:p>
    <w:p>
      <w:pPr>
        <w:pStyle w:val="Normal"/>
        <w:bidi w:val="0"/>
        <w:jc w:val="start"/>
        <w:rPr>
          <w:b w:val="false"/>
          <w:bCs w:val="false"/>
          <w:sz w:val="24"/>
          <w:szCs w:val="24"/>
        </w:rPr>
      </w:pPr>
      <w:r>
        <w:rPr>
          <w:b w:val="false"/>
          <w:bCs w:val="false"/>
          <w:sz w:val="24"/>
          <w:szCs w:val="24"/>
        </w:rPr>
        <w:t xml:space="preserve">NHS England (2023) Records Management Code of Practice. Available at: </w:t>
      </w:r>
      <w:hyperlink r:id="rId8">
        <w:r>
          <w:rPr>
            <w:rStyle w:val="Hyperlink"/>
            <w:b w:val="false"/>
            <w:bCs w:val="false"/>
            <w:sz w:val="24"/>
            <w:szCs w:val="24"/>
          </w:rPr>
          <w:t>https://www.england.nhs.uk/ourwork/digitalhealth/records-management</w:t>
        </w:r>
      </w:hyperlink>
    </w:p>
    <w:p>
      <w:pPr>
        <w:pStyle w:val="Normal"/>
        <w:bidi w:val="0"/>
        <w:jc w:val="start"/>
        <w:rPr>
          <w:b w:val="false"/>
          <w:bCs w:val="false"/>
          <w:sz w:val="24"/>
          <w:szCs w:val="24"/>
        </w:rPr>
      </w:pPr>
      <w:r>
        <w:rPr>
          <w:b w:val="false"/>
          <w:bCs w:val="false"/>
          <w:sz w:val="24"/>
          <w:szCs w:val="24"/>
        </w:rPr>
        <w:t>Swingler, K. (2025) CSCU9D6 Data Strategy Notes. University of Stirling.</w:t>
      </w:r>
    </w:p>
    <w:p>
      <w:pPr>
        <w:pStyle w:val="Normal"/>
        <w:bidi w:val="0"/>
        <w:jc w:val="start"/>
        <w:rPr>
          <w:b w:val="false"/>
          <w:bCs w:val="false"/>
          <w:sz w:val="24"/>
          <w:szCs w:val="24"/>
        </w:rPr>
      </w:pPr>
      <w:r>
        <w:rPr>
          <w:b w:val="false"/>
          <w:bCs w:val="false"/>
          <w:sz w:val="24"/>
          <w:szCs w:val="24"/>
        </w:rPr>
        <w:t>Tallon, P.P. (2013) 'Corporate Governance of Big Data: Perspectives on Value, Risk, and Cost', Computer, 46(6), pp. 32–38.</w:t>
      </w:r>
    </w:p>
    <w:p>
      <w:pPr>
        <w:pStyle w:val="Normal"/>
        <w:bidi w:val="0"/>
        <w:jc w:val="start"/>
        <w:rPr>
          <w:b w:val="false"/>
          <w:bCs w:val="false"/>
          <w:sz w:val="24"/>
          <w:szCs w:val="24"/>
        </w:rPr>
      </w:pPr>
      <w:r>
        <w:rPr>
          <w:b w:val="false"/>
          <w:bCs w:val="false"/>
          <w:sz w:val="24"/>
          <w:szCs w:val="24"/>
        </w:rPr>
        <w:t>Wende, K. (2007) 'A Model for Data Governance — Organising Accountabilities for Data Quality Management', in Proceedings of the 18th Australasian Conference on Information Systems, pp. 1–10.</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artner.com/en/data-analytics/topics/data-literacy" TargetMode="External"/><Relationship Id="rId3" Type="http://schemas.openxmlformats.org/officeDocument/2006/relationships/hyperlink" Target="https://hbr.org/2017/05/whats-your-data-strategy" TargetMode="External"/><Relationship Id="rId4" Type="http://schemas.openxmlformats.org/officeDocument/2006/relationships/hyperlink" Target="https://ico.org.uk/" TargetMode="External"/><Relationship Id="rId5" Type="http://schemas.openxmlformats.org/officeDocument/2006/relationships/hyperlink" Target="https://www.nao.org.uk/reports/investigation-wannacry-cyber-attack-and-the-nhs/" TargetMode="External"/><Relationship Id="rId6" Type="http://schemas.openxmlformats.org/officeDocument/2006/relationships/hyperlink" Target="https://www.ncsc.gov.uk/" TargetMode="External"/><Relationship Id="rId7" Type="http://schemas.openxmlformats.org/officeDocument/2006/relationships/hyperlink" Target="https://www.dsptoolkit.nhs.uk/" TargetMode="External"/><Relationship Id="rId8" Type="http://schemas.openxmlformats.org/officeDocument/2006/relationships/hyperlink" Target="https://www.england.nhs.uk/ourwork/digitalhealth/records-management"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186</TotalTime>
  <Application>LibreOffice/24.2.7.2$Linux_X86_64 LibreOffice_project/420$Build-2</Application>
  <AppVersion>15.0000</AppVersion>
  <Pages>9</Pages>
  <Words>4002</Words>
  <Characters>24748</Characters>
  <CharactersWithSpaces>28667</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2026-02-20T14:50:27Z</dcterms:created>
  <dc:creator/>
  <dc:description/>
  <dc:language>en-GB</dc:language>
  <cp:lastModifiedBy/>
  <dcterms:modified xsi:type="dcterms:W3CDTF">2026-03-13T10:26:33Z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