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ink/ink1.xml" ContentType="application/inkml+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ink/ink2.xml" ContentType="application/inkml+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W w:w="0" w:type="auto"/>
        <w:jc w:val="center"/>
        <w:tblLook w:val="04A0" w:firstRow="1" w:lastRow="0" w:firstColumn="1" w:lastColumn="0" w:noHBand="0" w:noVBand="1"/>
      </w:tblPr>
      <w:tblGrid>
        <w:gridCol w:w="9936"/>
      </w:tblGrid>
      <w:tr w14:paraId="222696CD">
        <w:trPr>
          <w:jc w:val="center"/>
        </w:trPr>
        <w:tc>
          <w:tcPr>
            <w:tcW w:w="9936" w:type="dxa"/>
            <w:tcBorders/>
            <w:shd w:val="nil" w:color="auto" w:fill="0f2a4a"/>
            <w:tcMar>
              <w:top w:w="200" w:type="dxa"/>
              <w:left w:w="250" w:type="dxa"/>
              <w:bottom w:w="200" w:type="dxa"/>
              <w:right w:w="250" w:type="dxa"/>
            </w:tcMar>
          </w:tcPr>
          <w:p w14:paraId="C90139C3">
            <w:pPr>
              <w:pStyle w:val="style0"/>
              <w:spacing w:after="40"/>
              <w:jc w:val="center"/>
              <w:rPr/>
            </w:pPr>
            <w:r>
              <w:rPr>
                <w:rFonts w:ascii="Calibri" w:hAnsi="Calibri"/>
                <w:b/>
                <w:color w:val="ffffff"/>
                <w:sz w:val="32"/>
              </w:rPr>
              <w:t>FULL-SCOPE SECURITY ASSESSMENT &amp; RULES OF ENGAGEMENT</w:t>
            </w:r>
          </w:p>
          <w:p w14:paraId="E2722106">
            <w:pPr>
              <w:pStyle w:val="style0"/>
              <w:spacing w:after="0"/>
              <w:jc w:val="center"/>
              <w:rPr/>
            </w:pPr>
            <w:r>
              <w:rPr>
                <w:rFonts w:ascii="Calibri" w:hAnsi="Calibri"/>
                <w:color w:val="c8dcf0"/>
                <w:sz w:val="22"/>
              </w:rPr>
              <w:t>Comprehensive Institutional Authorization Agreement — University of Ghana</w:t>
            </w:r>
          </w:p>
        </w:tc>
      </w:tr>
    </w:tbl>
    <w:p w14:paraId="50362E92">
      <w:pPr>
        <w:pStyle w:val="style0"/>
        <w:spacing w:after="120"/>
        <w:rPr/>
      </w:pPr>
    </w:p>
    <w:tbl>
      <w:tblPr>
        <w:tblW w:w="0" w:type="auto"/>
        <w:jc w:val="center"/>
        <w:tblLook w:val="04A0" w:firstRow="1" w:lastRow="0" w:firstColumn="1" w:lastColumn="0" w:noHBand="0" w:noVBand="1"/>
      </w:tblPr>
      <w:tblGrid>
        <w:gridCol w:w="9936"/>
      </w:tblGrid>
      <w:tr w14:paraId="5663D662">
        <w:trPr>
          <w:jc w:val="center"/>
        </w:trPr>
        <w:tc>
          <w:tcPr>
            <w:tcW w:w="9936" w:type="dxa"/>
            <w:tcBorders/>
            <w:shd w:val="nil" w:color="auto" w:fill="f0f4f8"/>
            <w:tcMar>
              <w:top w:w="120" w:type="dxa"/>
              <w:left w:w="180" w:type="dxa"/>
              <w:bottom w:w="120" w:type="dxa"/>
              <w:right w:w="180" w:type="dxa"/>
            </w:tcMar>
          </w:tcPr>
          <w:p w14:paraId="ED57BAC8">
            <w:pPr>
              <w:pStyle w:val="style0"/>
              <w:spacing w:after="0"/>
              <w:rPr/>
            </w:pPr>
            <w:r>
              <w:rPr>
                <w:b/>
                <w:color w:val="0f2a4a"/>
                <w:sz w:val="19"/>
              </w:rPr>
              <w:t xml:space="preserve">LEGAL MANDATE &amp; FULL-SPECTRUM AUTHORIZATION: </w:t>
            </w:r>
            <w:r>
              <w:rPr>
                <w:color w:val="282828"/>
                <w:sz w:val="19"/>
              </w:rPr>
              <w:t>This document grants broad, full-scope operational authority to the designated Assessor across University of Ghana digital infrastructure. All technical methodologies are pre-cleared, bounded strictly by explicit non-commercialization and data privacy covenants.</w:t>
            </w:r>
          </w:p>
        </w:tc>
      </w:tr>
    </w:tbl>
    <w:p w14:paraId="FD155018">
      <w:pPr>
        <w:pStyle w:val="style0"/>
        <w:spacing w:after="80"/>
        <w:rPr/>
      </w:pPr>
    </w:p>
    <w:p w14:paraId="7E9BA680">
      <w:pPr>
        <w:pStyle w:val="style0"/>
        <w:keepNext/>
        <w:pBdr>
          <w:bottom w:val="single" w:sz="12" w:space="4" w:color="1f4e79"/>
        </w:pBdr>
        <w:spacing w:before="280" w:after="80"/>
        <w:rPr/>
      </w:pPr>
      <w:r>
        <w:rPr>
          <w:rFonts w:ascii="Calibri" w:hAnsi="Calibri"/>
          <w:b/>
          <w:color w:val="0f2a4a"/>
          <w:sz w:val="26"/>
        </w:rPr>
        <w:t>1. Engagement Details &amp; Executive Mandate</w:t>
      </w:r>
    </w:p>
    <w:tbl>
      <w:tblPr>
        <w:tblW w:w="0" w:type="auto"/>
        <w:jc w:val="center"/>
        <w:tblLayout w:type="fixed"/>
        <w:tblLook w:val="04A0" w:firstRow="1" w:lastRow="0" w:firstColumn="1" w:lastColumn="0" w:noHBand="0" w:noVBand="1"/>
      </w:tblPr>
      <w:tblGrid>
        <w:gridCol w:w="4968"/>
        <w:gridCol w:w="4968"/>
      </w:tblGrid>
      <w:tr w14:paraId="3B963B66">
        <w:trPr>
          <w:jc w:val="center"/>
        </w:trPr>
        <w:tc>
          <w:tcPr>
            <w:tcW w:w="3168" w:type="dxa"/>
            <w:tcBorders/>
            <w:shd w:val="nil" w:color="auto" w:fill="f4f6f9"/>
            <w:tcMar>
              <w:top w:w="60" w:type="dxa"/>
              <w:left w:w="100" w:type="dxa"/>
              <w:bottom w:w="60" w:type="dxa"/>
              <w:right w:w="100" w:type="dxa"/>
            </w:tcMar>
          </w:tcPr>
          <w:p w14:paraId="CEBB95FD">
            <w:pPr>
              <w:pStyle w:val="style0"/>
              <w:spacing w:after="0"/>
              <w:rPr/>
            </w:pPr>
            <w:r>
              <w:rPr>
                <w:b/>
                <w:color w:val="1f4e79"/>
                <w:sz w:val="19"/>
              </w:rPr>
              <w:t>Target Organization:</w:t>
            </w:r>
          </w:p>
        </w:tc>
        <w:tc>
          <w:tcPr>
            <w:tcW w:w="6480" w:type="dxa"/>
            <w:tcBorders/>
            <w:shd w:val="nil" w:color="auto" w:fill="f4f6f9"/>
            <w:tcMar>
              <w:top w:w="60" w:type="dxa"/>
              <w:left w:w="100" w:type="dxa"/>
              <w:bottom w:w="60" w:type="dxa"/>
              <w:right w:w="100" w:type="dxa"/>
            </w:tcMar>
          </w:tcPr>
          <w:p w14:paraId="E3D7661D">
            <w:pPr>
              <w:pStyle w:val="style0"/>
              <w:spacing w:after="0"/>
              <w:rPr/>
            </w:pPr>
            <w:r>
              <w:rPr>
                <w:sz w:val="19"/>
              </w:rPr>
              <w:t>University of Ghana (UG)</w:t>
            </w:r>
          </w:p>
        </w:tc>
      </w:tr>
      <w:tr w14:paraId="E4B011D7">
        <w:tblPrEx/>
        <w:trPr>
          <w:jc w:val="center"/>
        </w:trPr>
        <w:tc>
          <w:tcPr>
            <w:tcW w:w="3168" w:type="dxa"/>
            <w:tcBorders/>
            <w:shd w:val="nil" w:color="auto" w:fill="ffffff"/>
            <w:tcMar>
              <w:top w:w="60" w:type="dxa"/>
              <w:left w:w="100" w:type="dxa"/>
              <w:bottom w:w="60" w:type="dxa"/>
              <w:right w:w="100" w:type="dxa"/>
            </w:tcMar>
          </w:tcPr>
          <w:p w14:paraId="EF88D2A1">
            <w:pPr>
              <w:pStyle w:val="style0"/>
              <w:spacing w:after="0"/>
              <w:rPr/>
            </w:pPr>
            <w:r>
              <w:rPr>
                <w:b/>
                <w:color w:val="1f4e79"/>
                <w:sz w:val="19"/>
              </w:rPr>
              <w:t>Authorized Assessor:</w:t>
            </w:r>
          </w:p>
        </w:tc>
        <w:tc>
          <w:tcPr>
            <w:tcW w:w="6480" w:type="dxa"/>
            <w:tcBorders/>
            <w:shd w:val="nil" w:color="auto" w:fill="ffffff"/>
            <w:tcMar>
              <w:top w:w="60" w:type="dxa"/>
              <w:left w:w="100" w:type="dxa"/>
              <w:bottom w:w="60" w:type="dxa"/>
              <w:right w:w="100" w:type="dxa"/>
            </w:tcMar>
          </w:tcPr>
          <w:p w14:paraId="5D4945D3">
            <w:pPr>
              <w:pStyle w:val="style0"/>
              <w:spacing w:after="0"/>
              <w:rPr/>
            </w:pPr>
            <w:r>
              <w:rPr>
                <w:sz w:val="19"/>
              </w:rPr>
              <w:t>Aaron Nii Nortey Ashong</w:t>
            </w:r>
          </w:p>
        </w:tc>
      </w:tr>
      <w:tr w14:paraId="EB74E709">
        <w:tblPrEx/>
        <w:trPr>
          <w:jc w:val="center"/>
        </w:trPr>
        <w:tc>
          <w:tcPr>
            <w:tcW w:w="3168" w:type="dxa"/>
            <w:tcBorders/>
            <w:shd w:val="nil" w:color="auto" w:fill="f4f6f9"/>
            <w:tcMar>
              <w:top w:w="60" w:type="dxa"/>
              <w:left w:w="100" w:type="dxa"/>
              <w:bottom w:w="60" w:type="dxa"/>
              <w:right w:w="100" w:type="dxa"/>
            </w:tcMar>
          </w:tcPr>
          <w:p w14:paraId="22AAF164">
            <w:pPr>
              <w:pStyle w:val="style0"/>
              <w:spacing w:after="0"/>
              <w:rPr/>
            </w:pPr>
            <w:r>
              <w:rPr>
                <w:b/>
                <w:color w:val="1f4e79"/>
                <w:sz w:val="19"/>
              </w:rPr>
              <w:t>Authorizing Official:</w:t>
            </w:r>
          </w:p>
        </w:tc>
        <w:tc>
          <w:tcPr>
            <w:tcW w:w="6480" w:type="dxa"/>
            <w:tcBorders/>
            <w:shd w:val="nil" w:color="auto" w:fill="f4f6f9"/>
            <w:tcMar>
              <w:top w:w="60" w:type="dxa"/>
              <w:left w:w="100" w:type="dxa"/>
              <w:bottom w:w="60" w:type="dxa"/>
              <w:right w:w="100" w:type="dxa"/>
            </w:tcMar>
          </w:tcPr>
          <w:p w14:paraId="A47C88ED">
            <w:pPr>
              <w:pStyle w:val="style0"/>
              <w:spacing w:after="0"/>
              <w:rPr/>
            </w:pPr>
            <w:r>
              <w:rPr>
                <w:sz w:val="19"/>
              </w:rPr>
              <w:t>Walter Joseph Adoteye Brown (wjbrown@ug.edu.gh)</w:t>
            </w:r>
          </w:p>
        </w:tc>
      </w:tr>
      <w:tr w14:paraId="17F042FF">
        <w:tblPrEx/>
        <w:trPr>
          <w:jc w:val="center"/>
        </w:trPr>
        <w:tc>
          <w:tcPr>
            <w:tcW w:w="3168" w:type="dxa"/>
            <w:tcBorders/>
            <w:shd w:val="nil" w:color="auto" w:fill="ffffff"/>
            <w:tcMar>
              <w:top w:w="60" w:type="dxa"/>
              <w:left w:w="100" w:type="dxa"/>
              <w:bottom w:w="60" w:type="dxa"/>
              <w:right w:w="100" w:type="dxa"/>
            </w:tcMar>
          </w:tcPr>
          <w:p w14:paraId="F822D39D">
            <w:pPr>
              <w:pStyle w:val="style0"/>
              <w:spacing w:after="0"/>
              <w:rPr/>
            </w:pPr>
            <w:r>
              <w:rPr>
                <w:b/>
                <w:color w:val="1f4e79"/>
                <w:sz w:val="19"/>
              </w:rPr>
              <w:t>Primary Scope Domain:</w:t>
            </w:r>
          </w:p>
        </w:tc>
        <w:tc>
          <w:tcPr>
            <w:tcW w:w="6480" w:type="dxa"/>
            <w:tcBorders/>
            <w:shd w:val="nil" w:color="auto" w:fill="ffffff"/>
            <w:tcMar>
              <w:top w:w="60" w:type="dxa"/>
              <w:left w:w="100" w:type="dxa"/>
              <w:bottom w:w="60" w:type="dxa"/>
              <w:right w:w="100" w:type="dxa"/>
            </w:tcMar>
          </w:tcPr>
          <w:p w14:paraId="512357E0">
            <w:pPr>
              <w:pStyle w:val="style0"/>
              <w:spacing w:after="0"/>
              <w:rPr/>
            </w:pPr>
            <w:r>
              <w:rPr>
                <w:sz w:val="19"/>
              </w:rPr>
              <w:t>*.ug.edu.gh (All university subdomains, services &amp; hosts)</w:t>
            </w:r>
          </w:p>
        </w:tc>
      </w:tr>
      <w:tr w14:paraId="54587BFE">
        <w:tblPrEx/>
        <w:trPr>
          <w:jc w:val="center"/>
        </w:trPr>
        <w:tc>
          <w:tcPr>
            <w:tcW w:w="3168" w:type="dxa"/>
            <w:tcBorders/>
            <w:shd w:val="nil" w:color="auto" w:fill="f4f6f9"/>
            <w:tcMar>
              <w:top w:w="60" w:type="dxa"/>
              <w:left w:w="100" w:type="dxa"/>
              <w:bottom w:w="60" w:type="dxa"/>
              <w:right w:w="100" w:type="dxa"/>
            </w:tcMar>
          </w:tcPr>
          <w:p w14:paraId="A36D58D7">
            <w:pPr>
              <w:pStyle w:val="style0"/>
              <w:spacing w:after="0"/>
              <w:rPr/>
            </w:pPr>
            <w:r>
              <w:rPr>
                <w:b/>
                <w:color w:val="1f4e79"/>
                <w:sz w:val="19"/>
              </w:rPr>
              <w:t>Engagement Term:</w:t>
            </w:r>
          </w:p>
        </w:tc>
        <w:tc>
          <w:tcPr>
            <w:tcW w:w="6480" w:type="dxa"/>
            <w:tcBorders/>
            <w:shd w:val="nil" w:color="auto" w:fill="f4f6f9"/>
            <w:tcMar>
              <w:top w:w="60" w:type="dxa"/>
              <w:left w:w="100" w:type="dxa"/>
              <w:bottom w:w="60" w:type="dxa"/>
              <w:right w:w="100" w:type="dxa"/>
            </w:tcMar>
          </w:tcPr>
          <w:p w14:paraId="B68B7873">
            <w:pPr>
              <w:pStyle w:val="style0"/>
              <w:spacing w:after="0"/>
              <w:rPr/>
            </w:pPr>
            <w:r>
              <w:rPr>
                <w:sz w:val="19"/>
              </w:rPr>
              <w:t>October 1, 2025 to October 31, 2031 (Multi-Year Operational Agreement)</w:t>
            </w:r>
          </w:p>
        </w:tc>
      </w:tr>
      <w:tr w14:paraId="1228CE88">
        <w:tblPrEx/>
        <w:trPr>
          <w:jc w:val="center"/>
        </w:trPr>
        <w:tc>
          <w:tcPr>
            <w:tcW w:w="3168" w:type="dxa"/>
            <w:tcBorders/>
            <w:shd w:val="nil" w:color="auto" w:fill="ffffff"/>
            <w:tcMar>
              <w:top w:w="60" w:type="dxa"/>
              <w:left w:w="100" w:type="dxa"/>
              <w:bottom w:w="60" w:type="dxa"/>
              <w:right w:w="100" w:type="dxa"/>
            </w:tcMar>
          </w:tcPr>
          <w:p w14:paraId="DF49158F">
            <w:pPr>
              <w:pStyle w:val="style0"/>
              <w:spacing w:after="0"/>
              <w:rPr/>
            </w:pPr>
            <w:r>
              <w:rPr>
                <w:b/>
                <w:color w:val="1f4e79"/>
                <w:sz w:val="19"/>
              </w:rPr>
              <w:t>Operational Authority Level:</w:t>
            </w:r>
          </w:p>
        </w:tc>
        <w:tc>
          <w:tcPr>
            <w:tcW w:w="6480" w:type="dxa"/>
            <w:tcBorders/>
            <w:shd w:val="nil" w:color="auto" w:fill="ffffff"/>
            <w:tcMar>
              <w:top w:w="60" w:type="dxa"/>
              <w:left w:w="100" w:type="dxa"/>
              <w:bottom w:w="60" w:type="dxa"/>
              <w:right w:w="100" w:type="dxa"/>
            </w:tcMar>
          </w:tcPr>
          <w:p w14:paraId="FF82E3C0">
            <w:pPr>
              <w:pStyle w:val="style0"/>
              <w:spacing w:after="0"/>
              <w:rPr/>
            </w:pPr>
            <w:r>
              <w:rPr>
                <w:sz w:val="19"/>
              </w:rPr>
              <w:t>Full-Scope / Unrestricted Technical Assessment Mandate (Red Team, Penetration Testing, Source &amp; Service Audits)</w:t>
            </w:r>
          </w:p>
        </w:tc>
      </w:tr>
    </w:tbl>
    <w:p w14:paraId="7BBA3691">
      <w:pPr>
        <w:pStyle w:val="style0"/>
        <w:keepNext/>
        <w:pBdr>
          <w:bottom w:val="single" w:sz="12" w:space="4" w:color="1f4e79"/>
        </w:pBdr>
        <w:spacing w:before="280" w:after="80"/>
        <w:rPr/>
      </w:pPr>
      <w:r>
        <w:rPr>
          <w:rFonts w:ascii="Calibri" w:hAnsi="Calibri"/>
          <w:b/>
          <w:color w:val="0f2a4a"/>
          <w:sz w:val="26"/>
        </w:rPr>
        <w:t>2. Comprehensive Operational Scope</w:t>
      </w:r>
    </w:p>
    <w:p w14:paraId="B88C47C9">
      <w:pPr>
        <w:pStyle w:val="style0"/>
        <w:spacing w:after="120"/>
        <w:rPr/>
      </w:pPr>
      <w:r>
        <w:t>Under this full-spectrum engagement, the Assessor is authorized to evaluate the entire digital attack surface belonging to or operated by the University of Ghana under the *.ug.edu.gh namespace, including but not limited to:</w:t>
      </w:r>
    </w:p>
    <w:tbl>
      <w:tblPr>
        <w:tblW w:w="0" w:type="auto"/>
        <w:jc w:val="center"/>
        <w:tblLayout w:type="fixed"/>
        <w:tblLook w:val="04A0" w:firstRow="1" w:lastRow="0" w:firstColumn="1" w:lastColumn="0" w:noHBand="0" w:noVBand="1"/>
      </w:tblPr>
      <w:tblGrid>
        <w:gridCol w:w="3312"/>
        <w:gridCol w:w="3312"/>
        <w:gridCol w:w="3312"/>
      </w:tblGrid>
      <w:tr w14:paraId="096328E3">
        <w:trPr>
          <w:jc w:val="center"/>
        </w:trPr>
        <w:tc>
          <w:tcPr>
            <w:tcW w:w="2592" w:type="dxa"/>
            <w:tcBorders/>
            <w:shd w:val="nil" w:color="auto" w:fill="1f4e79"/>
            <w:tcMar>
              <w:top w:w="80" w:type="dxa"/>
              <w:left w:w="100" w:type="dxa"/>
              <w:bottom w:w="80" w:type="dxa"/>
              <w:right w:w="100" w:type="dxa"/>
            </w:tcMar>
          </w:tcPr>
          <w:p w14:paraId="D8574812">
            <w:pPr>
              <w:pStyle w:val="style0"/>
              <w:spacing w:after="0"/>
              <w:rPr/>
            </w:pPr>
            <w:r>
              <w:rPr>
                <w:b/>
                <w:color w:val="ffffff"/>
                <w:sz w:val="19"/>
              </w:rPr>
              <w:t>Asset Domain</w:t>
            </w:r>
          </w:p>
        </w:tc>
        <w:tc>
          <w:tcPr>
            <w:tcW w:w="3456" w:type="dxa"/>
            <w:tcBorders/>
            <w:shd w:val="nil" w:color="auto" w:fill="1f4e79"/>
            <w:tcMar>
              <w:top w:w="80" w:type="dxa"/>
              <w:left w:w="100" w:type="dxa"/>
              <w:bottom w:w="80" w:type="dxa"/>
              <w:right w:w="100" w:type="dxa"/>
            </w:tcMar>
          </w:tcPr>
          <w:p w14:paraId="C46CF7B2">
            <w:pPr>
              <w:pStyle w:val="style0"/>
              <w:spacing w:after="0"/>
              <w:rPr/>
            </w:pPr>
            <w:r>
              <w:rPr>
                <w:b/>
                <w:color w:val="ffffff"/>
                <w:sz w:val="19"/>
              </w:rPr>
              <w:t>Coverage &amp; Identifiers</w:t>
            </w:r>
          </w:p>
        </w:tc>
        <w:tc>
          <w:tcPr>
            <w:tcW w:w="3600" w:type="dxa"/>
            <w:tcBorders/>
            <w:shd w:val="nil" w:color="auto" w:fill="1f4e79"/>
            <w:tcMar>
              <w:top w:w="80" w:type="dxa"/>
              <w:left w:w="100" w:type="dxa"/>
              <w:bottom w:w="80" w:type="dxa"/>
              <w:right w:w="100" w:type="dxa"/>
            </w:tcMar>
          </w:tcPr>
          <w:p w14:paraId="AADF609D">
            <w:pPr>
              <w:pStyle w:val="style0"/>
              <w:spacing w:after="0"/>
              <w:rPr/>
            </w:pPr>
            <w:r>
              <w:rPr>
                <w:b/>
                <w:color w:val="ffffff"/>
                <w:sz w:val="19"/>
              </w:rPr>
              <w:t>Authorized Depth</w:t>
            </w:r>
          </w:p>
        </w:tc>
      </w:tr>
      <w:tr w14:paraId="496A6A25">
        <w:tblPrEx/>
        <w:trPr>
          <w:jc w:val="center"/>
        </w:trPr>
        <w:tc>
          <w:tcPr>
            <w:tcW w:w="2592" w:type="dxa"/>
            <w:tcBorders/>
            <w:shd w:val="nil" w:color="auto" w:fill="ffffff"/>
            <w:tcMar>
              <w:top w:w="70" w:type="dxa"/>
              <w:left w:w="100" w:type="dxa"/>
              <w:bottom w:w="70" w:type="dxa"/>
              <w:right w:w="100" w:type="dxa"/>
            </w:tcMar>
          </w:tcPr>
          <w:p w14:paraId="D37B5E2B">
            <w:pPr>
              <w:pStyle w:val="style0"/>
              <w:spacing w:after="0"/>
              <w:rPr/>
            </w:pPr>
            <w:r>
              <w:rPr>
                <w:sz w:val="19"/>
              </w:rPr>
              <w:t>Web Applications &amp; APIs</w:t>
            </w:r>
          </w:p>
        </w:tc>
        <w:tc>
          <w:tcPr>
            <w:tcW w:w="3456" w:type="dxa"/>
            <w:tcBorders/>
            <w:shd w:val="nil" w:color="auto" w:fill="ffffff"/>
            <w:tcMar>
              <w:top w:w="70" w:type="dxa"/>
              <w:left w:w="100" w:type="dxa"/>
              <w:bottom w:w="70" w:type="dxa"/>
              <w:right w:w="100" w:type="dxa"/>
            </w:tcMar>
          </w:tcPr>
          <w:p w14:paraId="E1DFA890">
            <w:pPr>
              <w:pStyle w:val="style0"/>
              <w:spacing w:after="0"/>
              <w:rPr/>
            </w:pPr>
            <w:r>
              <w:rPr>
                <w:sz w:val="19"/>
              </w:rPr>
              <w:t>*.ug.edu.gh and all associated subdomains</w:t>
            </w:r>
          </w:p>
        </w:tc>
        <w:tc>
          <w:tcPr>
            <w:tcW w:w="3600" w:type="dxa"/>
            <w:tcBorders/>
            <w:shd w:val="nil" w:color="auto" w:fill="ffffff"/>
            <w:tcMar>
              <w:top w:w="70" w:type="dxa"/>
              <w:left w:w="100" w:type="dxa"/>
              <w:bottom w:w="70" w:type="dxa"/>
              <w:right w:w="100" w:type="dxa"/>
            </w:tcMar>
          </w:tcPr>
          <w:p w14:paraId="D4450A2F">
            <w:pPr>
              <w:pStyle w:val="style0"/>
              <w:spacing w:after="0"/>
              <w:rPr/>
            </w:pPr>
            <w:r>
              <w:rPr>
                <w:sz w:val="19"/>
              </w:rPr>
              <w:t>Full penetration testing, API probing, logic flaws, privilege escalation</w:t>
            </w:r>
          </w:p>
        </w:tc>
      </w:tr>
      <w:tr w14:paraId="1FF3B3C5">
        <w:tblPrEx/>
        <w:trPr>
          <w:jc w:val="center"/>
        </w:trPr>
        <w:tc>
          <w:tcPr>
            <w:tcW w:w="2592" w:type="dxa"/>
            <w:tcBorders/>
            <w:shd w:val="nil" w:color="auto" w:fill="f9fafb"/>
            <w:tcMar>
              <w:top w:w="70" w:type="dxa"/>
              <w:left w:w="100" w:type="dxa"/>
              <w:bottom w:w="70" w:type="dxa"/>
              <w:right w:w="100" w:type="dxa"/>
            </w:tcMar>
          </w:tcPr>
          <w:p w14:paraId="DF9D52DF">
            <w:pPr>
              <w:pStyle w:val="style0"/>
              <w:spacing w:after="0"/>
              <w:rPr/>
            </w:pPr>
            <w:r>
              <w:rPr>
                <w:sz w:val="19"/>
              </w:rPr>
              <w:t>Network &amp; Perimeter</w:t>
            </w:r>
          </w:p>
        </w:tc>
        <w:tc>
          <w:tcPr>
            <w:tcW w:w="3456" w:type="dxa"/>
            <w:tcBorders/>
            <w:shd w:val="nil" w:color="auto" w:fill="f9fafb"/>
            <w:tcMar>
              <w:top w:w="70" w:type="dxa"/>
              <w:left w:w="100" w:type="dxa"/>
              <w:bottom w:w="70" w:type="dxa"/>
              <w:right w:w="100" w:type="dxa"/>
            </w:tcMar>
          </w:tcPr>
          <w:p w14:paraId="7D98F38C">
            <w:pPr>
              <w:pStyle w:val="style0"/>
              <w:spacing w:after="0"/>
              <w:rPr/>
            </w:pPr>
            <w:r>
              <w:rPr>
                <w:sz w:val="19"/>
              </w:rPr>
              <w:t>All institutional public IP ranges and edge infrastructure</w:t>
            </w:r>
          </w:p>
        </w:tc>
        <w:tc>
          <w:tcPr>
            <w:tcW w:w="3600" w:type="dxa"/>
            <w:tcBorders/>
            <w:shd w:val="nil" w:color="auto" w:fill="f9fafb"/>
            <w:tcMar>
              <w:top w:w="70" w:type="dxa"/>
              <w:left w:w="100" w:type="dxa"/>
              <w:bottom w:w="70" w:type="dxa"/>
              <w:right w:w="100" w:type="dxa"/>
            </w:tcMar>
          </w:tcPr>
          <w:p w14:paraId="A4228261">
            <w:pPr>
              <w:pStyle w:val="style0"/>
              <w:spacing w:after="0"/>
              <w:rPr/>
            </w:pPr>
            <w:r>
              <w:rPr>
                <w:sz w:val="19"/>
              </w:rPr>
              <w:t>Port enumeration, vulnerability probing, protocol analysis, configuration reviews</w:t>
            </w:r>
          </w:p>
        </w:tc>
      </w:tr>
      <w:tr w14:paraId="3C6B1ACF">
        <w:tblPrEx/>
        <w:trPr>
          <w:jc w:val="center"/>
        </w:trPr>
        <w:tc>
          <w:tcPr>
            <w:tcW w:w="2592" w:type="dxa"/>
            <w:tcBorders/>
            <w:shd w:val="nil" w:color="auto" w:fill="ffffff"/>
            <w:tcMar>
              <w:top w:w="70" w:type="dxa"/>
              <w:left w:w="100" w:type="dxa"/>
              <w:bottom w:w="70" w:type="dxa"/>
              <w:right w:w="100" w:type="dxa"/>
            </w:tcMar>
          </w:tcPr>
          <w:p w14:paraId="AD8C87C5">
            <w:pPr>
              <w:pStyle w:val="style0"/>
              <w:spacing w:after="0"/>
              <w:rPr/>
            </w:pPr>
            <w:r>
              <w:rPr>
                <w:sz w:val="19"/>
              </w:rPr>
              <w:t>Internal Systems &amp; Directory</w:t>
            </w:r>
          </w:p>
        </w:tc>
        <w:tc>
          <w:tcPr>
            <w:tcW w:w="3456" w:type="dxa"/>
            <w:tcBorders/>
            <w:shd w:val="nil" w:color="auto" w:fill="ffffff"/>
            <w:tcMar>
              <w:top w:w="70" w:type="dxa"/>
              <w:left w:w="100" w:type="dxa"/>
              <w:bottom w:w="70" w:type="dxa"/>
              <w:right w:w="100" w:type="dxa"/>
            </w:tcMar>
          </w:tcPr>
          <w:p w14:paraId="E7C27B9B">
            <w:pPr>
              <w:pStyle w:val="style0"/>
              <w:spacing w:after="0"/>
              <w:rPr/>
            </w:pPr>
            <w:r>
              <w:rPr>
                <w:sz w:val="19"/>
              </w:rPr>
              <w:t>Enterprise networks, internal subnets, staging</w:t>
            </w:r>
          </w:p>
        </w:tc>
        <w:tc>
          <w:tcPr>
            <w:tcW w:w="3600" w:type="dxa"/>
            <w:tcBorders/>
            <w:shd w:val="nil" w:color="auto" w:fill="ffffff"/>
            <w:tcMar>
              <w:top w:w="70" w:type="dxa"/>
              <w:left w:w="100" w:type="dxa"/>
              <w:bottom w:w="70" w:type="dxa"/>
              <w:right w:w="100" w:type="dxa"/>
            </w:tcMar>
          </w:tcPr>
          <w:p w14:paraId="7E9B80B5">
            <w:pPr>
              <w:pStyle w:val="style0"/>
              <w:spacing w:after="0"/>
              <w:rPr/>
            </w:pPr>
            <w:r>
              <w:rPr>
                <w:sz w:val="19"/>
              </w:rPr>
              <w:t>Lateral movement, domain privilege audit, internal posture validation</w:t>
            </w:r>
          </w:p>
        </w:tc>
      </w:tr>
    </w:tbl>
    <w:p w14:paraId="49F2DD35">
      <w:pPr>
        <w:pStyle w:val="style0"/>
        <w:keepNext/>
        <w:pBdr>
          <w:bottom w:val="single" w:sz="12" w:space="4" w:color="1f4e79"/>
        </w:pBdr>
        <w:spacing w:before="280" w:after="80"/>
        <w:rPr/>
      </w:pPr>
      <w:r>
        <w:rPr>
          <w:rFonts w:ascii="Calibri" w:hAnsi="Calibri"/>
          <w:b/>
          <w:color w:val="0f2a4a"/>
          <w:sz w:val="26"/>
        </w:rPr>
        <w:t>3. Methodologies &amp; Full-Scope Authority</w:t>
      </w:r>
    </w:p>
    <w:p w14:paraId="2798CFAC">
      <w:pPr>
        <w:pStyle w:val="style0"/>
        <w:rPr/>
      </w:pPr>
      <w:r>
        <w:rPr>
          <w:b/>
        </w:rPr>
        <w:t xml:space="preserve">Broad Technical Authority: </w:t>
      </w:r>
      <w:r>
        <w:t>The Assessor is granted comprehensive clearance to utilize any industry-standard, advanced, or novel assessment technique required to fully assess and demonstrate the university's technical security posture, including:</w:t>
      </w:r>
    </w:p>
    <w:p w14:paraId="0B4B4B43">
      <w:pPr>
        <w:pStyle w:val="style48"/>
        <w:spacing w:after="40"/>
        <w:rPr/>
      </w:pPr>
      <w:r>
        <w:rPr>
          <w:sz w:val="19"/>
        </w:rPr>
        <w:t>External and internal vulnerability scanning, protocol inspection, and service fingerprinting.</w:t>
      </w:r>
    </w:p>
    <w:p w14:paraId="387C39F6">
      <w:pPr>
        <w:pStyle w:val="style48"/>
        <w:spacing w:after="40"/>
        <w:rPr/>
      </w:pPr>
      <w:r>
        <w:rPr>
          <w:sz w:val="19"/>
        </w:rPr>
        <w:t>Comprehensive application security testing across all authentication tiers and administrative modules.</w:t>
      </w:r>
    </w:p>
    <w:p w14:paraId="D028F793">
      <w:pPr>
        <w:pStyle w:val="style48"/>
        <w:spacing w:after="40"/>
        <w:rPr/>
      </w:pPr>
      <w:r>
        <w:rPr>
          <w:sz w:val="19"/>
        </w:rPr>
        <w:t>Active exploitation, privilege escalation, lateral pivoting, and proof-of-concept payload execution.</w:t>
      </w:r>
    </w:p>
    <w:p w14:paraId="834A5958">
      <w:pPr>
        <w:pStyle w:val="style48"/>
        <w:spacing w:after="40"/>
        <w:rPr/>
      </w:pPr>
      <w:r>
        <w:rPr>
          <w:sz w:val="19"/>
        </w:rPr>
        <w:t>Security configuration auditing, credential-stuffing defense validation, and token/session handling evaluations.</w:t>
      </w:r>
    </w:p>
    <w:p w14:paraId="F8E0DE2E">
      <w:pPr>
        <w:pStyle w:val="style0"/>
        <w:keepNext/>
        <w:pBdr>
          <w:bottom w:val="single" w:sz="12" w:space="4" w:color="1f4e79"/>
        </w:pBdr>
        <w:spacing w:before="280" w:after="80"/>
        <w:rPr/>
      </w:pPr>
      <w:r>
        <w:rPr>
          <w:rFonts w:ascii="Calibri" w:hAnsi="Calibri"/>
          <w:b/>
          <w:color w:val="0f2a4a"/>
          <w:sz w:val="26"/>
        </w:rPr>
        <w:t>4. Absolute Prohibitions &amp; Data Covenants</w:t>
      </w:r>
    </w:p>
    <w:p w14:paraId="ED3F70F6">
      <w:pPr>
        <w:pStyle w:val="style0"/>
        <w:spacing w:after="80"/>
        <w:rPr/>
      </w:pPr>
      <w:r>
        <w:t>While the Assessor possesses full-spectrum technical testing authority, the following legal and operational prohibitions are strictly binding:</w:t>
      </w:r>
    </w:p>
    <w:p w14:paraId="7EC6FF3A">
      <w:pPr>
        <w:pStyle w:val="style48"/>
        <w:spacing w:after="60"/>
        <w:rPr/>
      </w:pPr>
      <w:r>
        <w:rPr>
          <w:b/>
          <w:color w:val="c0392b"/>
        </w:rPr>
        <w:t xml:space="preserve">Commercialization &amp; Sale of Data: </w:t>
      </w:r>
      <w:r>
        <w:rPr>
          <w:sz w:val="19"/>
        </w:rPr>
        <w:t>Strict Prohibition: The Assessor shall not sell, monetize, broker, transfer, license, trade, or distribute any data, credentials, source code, database records, or student/staff records obtained during the course of testing to any third party under any circumstances.</w:t>
      </w:r>
    </w:p>
    <w:p w14:paraId="F8EB4E60">
      <w:pPr>
        <w:pStyle w:val="style48"/>
        <w:spacing w:after="60"/>
        <w:rPr/>
      </w:pPr>
      <w:r>
        <w:rPr>
          <w:b/>
          <w:color w:val="c0392b"/>
        </w:rPr>
        <w:t xml:space="preserve">Data Privacy &amp; Public Disclosure: </w:t>
      </w:r>
      <w:r>
        <w:rPr>
          <w:sz w:val="19"/>
        </w:rPr>
        <w:t>Strict Non-Disclosure: No accessed student information, academic transcripts, financial records, employee personal identifiable information (PII), or institutional secrets may be leaked, publicly published, or disclosed outside the official university escalation chain.</w:t>
      </w:r>
    </w:p>
    <w:p w14:paraId="317D97AF">
      <w:pPr>
        <w:pStyle w:val="style48"/>
        <w:spacing w:after="60"/>
        <w:rPr/>
      </w:pPr>
      <w:r>
        <w:rPr>
          <w:b/>
          <w:color w:val="c0392b"/>
        </w:rPr>
        <w:t xml:space="preserve">Destructive Alteration / Sabotage: </w:t>
      </w:r>
      <w:r>
        <w:rPr>
          <w:sz w:val="19"/>
        </w:rPr>
        <w:t>Zero Data Destruction: Testing must not permanently destroy, erase, or maliciously corrupt production database records. Any modification made to demonstrate a vulnerability must be cleanly reversable and documented.</w:t>
      </w:r>
    </w:p>
    <w:p w14:paraId="AF4D757A">
      <w:pPr>
        <w:pStyle w:val="style48"/>
        <w:spacing w:after="60"/>
        <w:rPr/>
      </w:pPr>
      <w:r>
        <w:rPr>
          <w:b/>
          <w:color w:val="c0392b"/>
        </w:rPr>
        <w:t xml:space="preserve">External Multi-Tenant Collateral Impact: </w:t>
      </w:r>
      <w:r>
        <w:rPr>
          <w:sz w:val="19"/>
        </w:rPr>
        <w:t>No Third-Party Disruption: Probing must not compromise third-party networks or hosting providers that are outside the direct legal ownership or administrative control of the University of Ghana.</w:t>
      </w:r>
    </w:p>
    <w:p w14:paraId="A4AFB568">
      <w:pPr>
        <w:pStyle w:val="style0"/>
        <w:keepNext/>
        <w:pBdr>
          <w:bottom w:val="single" w:sz="12" w:space="4" w:color="1f4e79"/>
        </w:pBdr>
        <w:spacing w:before="280" w:after="80"/>
        <w:rPr/>
      </w:pPr>
      <w:r>
        <w:rPr>
          <w:rFonts w:ascii="Calibri" w:hAnsi="Calibri"/>
          <w:b/>
          <w:color w:val="0f2a4a"/>
          <w:sz w:val="26"/>
        </w:rPr>
        <w:t>5. Evidence Custody &amp; Secure Reporting</w:t>
      </w:r>
    </w:p>
    <w:p w14:paraId="E6BA8DCA">
      <w:pPr>
        <w:pStyle w:val="style0"/>
        <w:rPr/>
      </w:pPr>
      <w:r>
        <w:t>All findings, proofs of concept, vulnerability captures, and technical data gathered during the 2025–2031 engagement must remain strictly encrypted (AES-256 at rest, TLS 1.3 in transit). The Assessor will provide structured technical findings and remediation reports directly to Walter Joseph Adoteye Brown. All transient artifacts containing sensitive records will be securely sanitized once verification and defensive remediation are achieved.</w:t>
      </w:r>
    </w:p>
    <w:p w14:paraId="114E56AD">
      <w:pPr>
        <w:pStyle w:val="style0"/>
        <w:keepNext/>
        <w:pBdr>
          <w:bottom w:val="single" w:sz="12" w:space="4" w:color="1f4e79"/>
        </w:pBdr>
        <w:spacing w:before="280" w:after="80"/>
        <w:rPr/>
      </w:pPr>
      <w:r>
        <w:rPr>
          <w:rFonts w:ascii="Calibri" w:hAnsi="Calibri"/>
          <w:b/>
          <w:color w:val="0f2a4a"/>
          <w:sz w:val="26"/>
        </w:rPr>
        <w:t>6. Escalation Structure &amp; Communication</w:t>
      </w:r>
    </w:p>
    <w:tbl>
      <w:tblPr>
        <w:tblW w:w="0" w:type="auto"/>
        <w:jc w:val="center"/>
        <w:tblLayout w:type="fixed"/>
        <w:tblLook w:val="04A0" w:firstRow="1" w:lastRow="0" w:firstColumn="1" w:lastColumn="0" w:noHBand="0" w:noVBand="1"/>
      </w:tblPr>
      <w:tblGrid>
        <w:gridCol w:w="2484"/>
        <w:gridCol w:w="2484"/>
        <w:gridCol w:w="2484"/>
        <w:gridCol w:w="2484"/>
      </w:tblGrid>
      <w:tr w14:paraId="3B489D54">
        <w:trPr>
          <w:jc w:val="center"/>
        </w:trPr>
        <w:tc>
          <w:tcPr>
            <w:tcW w:w="2592" w:type="dxa"/>
            <w:tcBorders/>
            <w:shd w:val="nil" w:color="auto" w:fill="1f4e79"/>
            <w:tcMar>
              <w:top w:w="80" w:type="dxa"/>
              <w:left w:w="100" w:type="dxa"/>
              <w:bottom w:w="80" w:type="dxa"/>
              <w:right w:w="100" w:type="dxa"/>
            </w:tcMar>
          </w:tcPr>
          <w:p w14:paraId="DE713452">
            <w:pPr>
              <w:pStyle w:val="style0"/>
              <w:spacing w:after="0"/>
              <w:rPr/>
            </w:pPr>
            <w:r>
              <w:rPr>
                <w:b/>
                <w:color w:val="ffffff"/>
                <w:sz w:val="19"/>
              </w:rPr>
              <w:t>Role</w:t>
            </w:r>
          </w:p>
        </w:tc>
        <w:tc>
          <w:tcPr>
            <w:tcW w:w="2592" w:type="dxa"/>
            <w:tcBorders/>
            <w:shd w:val="nil" w:color="auto" w:fill="1f4e79"/>
            <w:tcMar>
              <w:top w:w="80" w:type="dxa"/>
              <w:left w:w="100" w:type="dxa"/>
              <w:bottom w:w="80" w:type="dxa"/>
              <w:right w:w="100" w:type="dxa"/>
            </w:tcMar>
          </w:tcPr>
          <w:p w14:paraId="3A8F76B1">
            <w:pPr>
              <w:pStyle w:val="style0"/>
              <w:spacing w:after="0"/>
              <w:rPr/>
            </w:pPr>
            <w:r>
              <w:rPr>
                <w:b/>
                <w:color w:val="ffffff"/>
                <w:sz w:val="19"/>
              </w:rPr>
              <w:t>Name</w:t>
            </w:r>
          </w:p>
        </w:tc>
        <w:tc>
          <w:tcPr>
            <w:tcW w:w="2304" w:type="dxa"/>
            <w:tcBorders/>
            <w:shd w:val="nil" w:color="auto" w:fill="1f4e79"/>
            <w:tcMar>
              <w:top w:w="80" w:type="dxa"/>
              <w:left w:w="100" w:type="dxa"/>
              <w:bottom w:w="80" w:type="dxa"/>
              <w:right w:w="100" w:type="dxa"/>
            </w:tcMar>
          </w:tcPr>
          <w:p w14:paraId="82B6976C">
            <w:pPr>
              <w:pStyle w:val="style0"/>
              <w:spacing w:after="0"/>
              <w:rPr/>
            </w:pPr>
            <w:r>
              <w:rPr>
                <w:b/>
                <w:color w:val="ffffff"/>
                <w:sz w:val="19"/>
              </w:rPr>
              <w:t>Entity / Affiliation</w:t>
            </w:r>
          </w:p>
        </w:tc>
        <w:tc>
          <w:tcPr>
            <w:tcW w:w="2160" w:type="dxa"/>
            <w:tcBorders/>
            <w:shd w:val="nil" w:color="auto" w:fill="1f4e79"/>
            <w:tcMar>
              <w:top w:w="80" w:type="dxa"/>
              <w:left w:w="100" w:type="dxa"/>
              <w:bottom w:w="80" w:type="dxa"/>
              <w:right w:w="100" w:type="dxa"/>
            </w:tcMar>
          </w:tcPr>
          <w:p w14:paraId="D490C19E">
            <w:pPr>
              <w:pStyle w:val="style0"/>
              <w:spacing w:after="0"/>
              <w:rPr/>
            </w:pPr>
            <w:r>
              <w:rPr>
                <w:b/>
                <w:color w:val="ffffff"/>
                <w:sz w:val="19"/>
              </w:rPr>
              <w:t>Official Details</w:t>
            </w:r>
          </w:p>
        </w:tc>
      </w:tr>
      <w:tr w14:paraId="E983F9B2">
        <w:tblPrEx/>
        <w:trPr>
          <w:jc w:val="center"/>
        </w:trPr>
        <w:tc>
          <w:tcPr>
            <w:tcW w:w="2592" w:type="dxa"/>
            <w:tcBorders/>
            <w:shd w:val="nil" w:color="auto" w:fill="ffffff"/>
            <w:tcMar>
              <w:top w:w="70" w:type="dxa"/>
              <w:left w:w="100" w:type="dxa"/>
              <w:bottom w:w="70" w:type="dxa"/>
              <w:right w:w="100" w:type="dxa"/>
            </w:tcMar>
          </w:tcPr>
          <w:p w14:paraId="7BD140D6">
            <w:pPr>
              <w:pStyle w:val="style0"/>
              <w:spacing w:after="0"/>
              <w:rPr/>
            </w:pPr>
            <w:r>
              <w:rPr>
                <w:sz w:val="19"/>
              </w:rPr>
              <w:t>Institutional Authority</w:t>
            </w:r>
          </w:p>
        </w:tc>
        <w:tc>
          <w:tcPr>
            <w:tcW w:w="2592" w:type="dxa"/>
            <w:tcBorders/>
            <w:shd w:val="nil" w:color="auto" w:fill="ffffff"/>
            <w:tcMar>
              <w:top w:w="70" w:type="dxa"/>
              <w:left w:w="100" w:type="dxa"/>
              <w:bottom w:w="70" w:type="dxa"/>
              <w:right w:w="100" w:type="dxa"/>
            </w:tcMar>
          </w:tcPr>
          <w:p w14:paraId="D202EF5B">
            <w:pPr>
              <w:pStyle w:val="style0"/>
              <w:spacing w:after="0"/>
              <w:rPr/>
            </w:pPr>
            <w:r>
              <w:rPr>
                <w:sz w:val="19"/>
              </w:rPr>
              <w:t>Walter Joseph Adoteye Brown</w:t>
            </w:r>
          </w:p>
        </w:tc>
        <w:tc>
          <w:tcPr>
            <w:tcW w:w="2304" w:type="dxa"/>
            <w:tcBorders/>
            <w:shd w:val="nil" w:color="auto" w:fill="ffffff"/>
            <w:tcMar>
              <w:top w:w="70" w:type="dxa"/>
              <w:left w:w="100" w:type="dxa"/>
              <w:bottom w:w="70" w:type="dxa"/>
              <w:right w:w="100" w:type="dxa"/>
            </w:tcMar>
          </w:tcPr>
          <w:p w14:paraId="484FAD00">
            <w:pPr>
              <w:pStyle w:val="style0"/>
              <w:spacing w:after="0"/>
              <w:rPr/>
            </w:pPr>
            <w:r>
              <w:rPr>
                <w:sz w:val="19"/>
              </w:rPr>
              <w:t>University of Ghana</w:t>
            </w:r>
          </w:p>
        </w:tc>
        <w:tc>
          <w:tcPr>
            <w:tcW w:w="2160" w:type="dxa"/>
            <w:tcBorders/>
            <w:shd w:val="nil" w:color="auto" w:fill="ffffff"/>
            <w:tcMar>
              <w:top w:w="70" w:type="dxa"/>
              <w:left w:w="100" w:type="dxa"/>
              <w:bottom w:w="70" w:type="dxa"/>
              <w:right w:w="100" w:type="dxa"/>
            </w:tcMar>
          </w:tcPr>
          <w:p w14:paraId="B5BF9B10">
            <w:pPr>
              <w:pStyle w:val="style0"/>
              <w:spacing w:after="0"/>
              <w:rPr/>
            </w:pPr>
            <w:r>
              <w:rPr>
                <w:sz w:val="19"/>
              </w:rPr>
              <w:t>wjbrown@ug.edu.gh</w:t>
            </w:r>
          </w:p>
        </w:tc>
      </w:tr>
      <w:tr w14:paraId="0FBC25EC">
        <w:tblPrEx/>
        <w:trPr>
          <w:jc w:val="center"/>
        </w:trPr>
        <w:tc>
          <w:tcPr>
            <w:tcW w:w="2592" w:type="dxa"/>
            <w:tcBorders/>
            <w:shd w:val="nil" w:color="auto" w:fill="f9fafb"/>
            <w:tcMar>
              <w:top w:w="70" w:type="dxa"/>
              <w:left w:w="100" w:type="dxa"/>
              <w:bottom w:w="70" w:type="dxa"/>
              <w:right w:w="100" w:type="dxa"/>
            </w:tcMar>
          </w:tcPr>
          <w:p w14:paraId="1AF05D7D">
            <w:pPr>
              <w:pStyle w:val="style0"/>
              <w:spacing w:after="0"/>
              <w:rPr/>
            </w:pPr>
            <w:r>
              <w:rPr>
                <w:sz w:val="19"/>
              </w:rPr>
              <w:t>Authorized Security Assessor</w:t>
            </w:r>
          </w:p>
        </w:tc>
        <w:tc>
          <w:tcPr>
            <w:tcW w:w="2592" w:type="dxa"/>
            <w:tcBorders/>
            <w:shd w:val="nil" w:color="auto" w:fill="f9fafb"/>
            <w:tcMar>
              <w:top w:w="70" w:type="dxa"/>
              <w:left w:w="100" w:type="dxa"/>
              <w:bottom w:w="70" w:type="dxa"/>
              <w:right w:w="100" w:type="dxa"/>
            </w:tcMar>
          </w:tcPr>
          <w:p w14:paraId="1AD8C405">
            <w:pPr>
              <w:pStyle w:val="style0"/>
              <w:spacing w:after="0"/>
              <w:rPr/>
            </w:pPr>
            <w:r>
              <w:rPr>
                <w:sz w:val="19"/>
              </w:rPr>
              <w:t>Aaron Nii Nortey Ashong</w:t>
            </w:r>
          </w:p>
        </w:tc>
        <w:tc>
          <w:tcPr>
            <w:tcW w:w="2304" w:type="dxa"/>
            <w:tcBorders/>
            <w:shd w:val="nil" w:color="auto" w:fill="f9fafb"/>
            <w:tcMar>
              <w:top w:w="70" w:type="dxa"/>
              <w:left w:w="100" w:type="dxa"/>
              <w:bottom w:w="70" w:type="dxa"/>
              <w:right w:w="100" w:type="dxa"/>
            </w:tcMar>
          </w:tcPr>
          <w:p w14:paraId="B7B11F3B">
            <w:pPr>
              <w:pStyle w:val="style0"/>
              <w:spacing w:after="0"/>
              <w:rPr/>
            </w:pPr>
            <w:r>
              <w:rPr>
                <w:sz w:val="19"/>
              </w:rPr>
              <w:t>Independent Assessor</w:t>
            </w:r>
          </w:p>
        </w:tc>
        <w:tc>
          <w:tcPr>
            <w:tcW w:w="2160" w:type="dxa"/>
            <w:tcBorders/>
            <w:shd w:val="nil" w:color="auto" w:fill="f9fafb"/>
            <w:tcMar>
              <w:top w:w="70" w:type="dxa"/>
              <w:left w:w="100" w:type="dxa"/>
              <w:bottom w:w="70" w:type="dxa"/>
              <w:right w:w="100" w:type="dxa"/>
            </w:tcMar>
          </w:tcPr>
          <w:p w14:paraId="61361796">
            <w:pPr>
              <w:pStyle w:val="style0"/>
              <w:spacing w:after="0"/>
              <w:rPr/>
            </w:pPr>
            <w:r>
              <w:rPr>
                <w:sz w:val="19"/>
              </w:rPr>
              <w:t>[Assessor Contact Email/Tel]</w:t>
            </w:r>
          </w:p>
        </w:tc>
      </w:tr>
    </w:tbl>
    <w:p w14:paraId="B1800A52">
      <w:pPr>
        <w:pStyle w:val="style0"/>
        <w:keepNext/>
        <w:pBdr>
          <w:bottom w:val="single" w:sz="12" w:space="4" w:color="1f4e79"/>
        </w:pBdr>
        <w:spacing w:before="280" w:after="80"/>
        <w:rPr/>
      </w:pPr>
      <w:r>
        <w:rPr>
          <w:rFonts w:ascii="Calibri" w:hAnsi="Calibri"/>
          <w:b/>
          <w:color w:val="0f2a4a"/>
          <w:sz w:val="26"/>
        </w:rPr>
        <w:t>7. Formal Execution &amp; Mutual Sign-Off</w:t>
      </w:r>
    </w:p>
    <w:p w14:paraId="5EC0DA31">
      <w:pPr>
        <w:pStyle w:val="style0"/>
        <w:spacing w:after="200"/>
        <w:rPr/>
      </w:pPr>
      <w:r>
        <w:t>By signing below, Walter Joseph Adoteye Brown, acting on behalf of the University of Ghana, confers comprehensive authority upon Aaron Nii Nortey Ashong to conduct full-scope security assessments across university digital infrastructure from October 1, 2025 to October 31, 2031. The Assessor formally covenants to strictly abide by all data privacy and non-commercialization restrictions stipulated in Section 4.</w:t>
      </w:r>
    </w:p>
    <w:tbl>
      <w:tblPr>
        <w:tblW w:w="0" w:type="auto"/>
        <w:jc w:val="center"/>
        <w:tblLayout w:type="fixed"/>
        <w:tblLook w:val="04A0" w:firstRow="1" w:lastRow="0" w:firstColumn="1" w:lastColumn="0" w:noHBand="0" w:noVBand="1"/>
      </w:tblPr>
      <w:tblGrid>
        <w:gridCol w:w="4968"/>
        <w:gridCol w:w="4968"/>
      </w:tblGrid>
      <w:tr w14:paraId="708D2A90">
        <w:trPr>
          <w:jc w:val="center"/>
        </w:trPr>
        <w:tc>
          <w:tcPr>
            <w:tcW w:w="4824" w:type="dxa"/>
            <w:tcBorders/>
            <w:shd w:val="nil" w:color="auto" w:fill="1f4e79"/>
            <w:tcMar>
              <w:top w:w="80" w:type="dxa"/>
              <w:left w:w="100" w:type="dxa"/>
              <w:bottom w:w="80" w:type="dxa"/>
              <w:right w:w="100" w:type="dxa"/>
            </w:tcMar>
          </w:tcPr>
          <w:p w14:paraId="6388579B">
            <w:pPr>
              <w:pStyle w:val="style0"/>
              <w:spacing w:after="0"/>
              <w:rPr/>
            </w:pPr>
            <w:r>
              <w:rPr>
                <w:b/>
                <w:color w:val="ffffff"/>
              </w:rPr>
              <w:t>For: University of Ghana</w:t>
            </w:r>
          </w:p>
        </w:tc>
        <w:tc>
          <w:tcPr>
            <w:tcW w:w="4824" w:type="dxa"/>
            <w:tcBorders/>
            <w:shd w:val="nil" w:color="auto" w:fill="1f4e79"/>
            <w:tcMar>
              <w:top w:w="80" w:type="dxa"/>
              <w:left w:w="100" w:type="dxa"/>
              <w:bottom w:w="80" w:type="dxa"/>
              <w:right w:w="100" w:type="dxa"/>
            </w:tcMar>
          </w:tcPr>
          <w:p w14:paraId="7466FF9D">
            <w:pPr>
              <w:pStyle w:val="style0"/>
              <w:spacing w:after="0"/>
              <w:rPr/>
            </w:pPr>
            <w:r>
              <w:rPr>
                <w:b/>
                <w:color w:val="ffffff"/>
              </w:rPr>
              <w:t>For: Authorized Security Assessor</w:t>
            </w:r>
          </w:p>
        </w:tc>
      </w:tr>
      <w:tr w14:paraId="4E7FD5BF">
        <w:tblPrEx/>
        <w:trPr>
          <w:jc w:val="center"/>
        </w:trPr>
        <w:tc>
          <w:tcPr>
            <w:tcW w:w="4824" w:type="dxa"/>
            <w:tcBorders/>
            <w:shd w:val="nil" w:color="auto" w:fill="fbfbfb"/>
            <w:tcMar>
              <w:top w:w="80" w:type="dxa"/>
              <w:left w:w="100" w:type="dxa"/>
              <w:bottom w:w="80" w:type="dxa"/>
              <w:right w:w="100" w:type="dxa"/>
            </w:tcMar>
          </w:tcPr>
          <w:p w14:paraId="33C886FB">
            <w:pPr>
              <w:pStyle w:val="style0"/>
              <w:spacing w:after="80"/>
              <w:rPr/>
            </w:pPr>
            <w:r>
              <w:rPr>
                <w:sz w:val="19"/>
              </w:rPr>
              <w:t>Authorizing Official:</w:t>
            </w:r>
            <w:r>
              <w:rPr>
                <w:sz w:val="19"/>
              </w:rPr>
              <w:br/>
            </w:r>
            <w:r>
              <w:rPr>
                <w:sz w:val="19"/>
              </w:rPr>
              <w:br/>
            </w:r>
            <w:r>
              <w:rPr>
                <w:sz w:val="19"/>
              </w:rPr>
              <w:t>Walter Joseph Adoteye Brown</w:t>
            </w:r>
          </w:p>
        </w:tc>
        <w:tc>
          <w:tcPr>
            <w:tcW w:w="4824" w:type="dxa"/>
            <w:tcBorders/>
            <w:shd w:val="nil" w:color="auto" w:fill="fbfbfb"/>
            <w:tcMar>
              <w:top w:w="80" w:type="dxa"/>
              <w:left w:w="100" w:type="dxa"/>
              <w:bottom w:w="80" w:type="dxa"/>
              <w:right w:w="100" w:type="dxa"/>
            </w:tcMar>
          </w:tcPr>
          <w:p w14:paraId="35B587DB">
            <w:pPr>
              <w:pStyle w:val="style0"/>
              <w:spacing w:after="80"/>
              <w:rPr/>
            </w:pPr>
            <w:r>
              <w:rPr>
                <w:sz w:val="19"/>
              </w:rPr>
              <w:t>Assessor Name:</w:t>
            </w:r>
            <w:r>
              <w:rPr>
                <w:sz w:val="19"/>
              </w:rPr>
              <w:br/>
            </w:r>
            <w:r>
              <w:rPr>
                <w:sz w:val="19"/>
              </w:rPr>
              <w:br/>
            </w:r>
            <w:r>
              <w:rPr>
                <w:sz w:val="19"/>
              </w:rPr>
              <w:t>Aaron Nii Nortey Ashong</w:t>
            </w:r>
          </w:p>
        </w:tc>
      </w:tr>
      <w:tr w14:paraId="1825E606">
        <w:tblPrEx/>
        <w:trPr>
          <w:jc w:val="center"/>
        </w:trPr>
        <w:tc>
          <w:tcPr>
            <w:tcW w:w="4824" w:type="dxa"/>
            <w:tcBorders/>
            <w:shd w:val="nil" w:color="auto" w:fill="fbfbfb"/>
            <w:tcMar>
              <w:top w:w="80" w:type="dxa"/>
              <w:left w:w="100" w:type="dxa"/>
              <w:bottom w:w="80" w:type="dxa"/>
              <w:right w:w="100" w:type="dxa"/>
            </w:tcMar>
          </w:tcPr>
          <w:p w14:paraId="A2E773F6">
            <w:pPr>
              <w:pStyle w:val="style0"/>
              <w:spacing w:after="80"/>
              <w:rPr/>
            </w:pPr>
            <w:r>
              <w:rPr>
                <w:sz w:val="19"/>
              </w:rPr>
              <w:t>Official Email / Title:</w:t>
            </w:r>
            <w:r>
              <w:rPr>
                <w:sz w:val="19"/>
              </w:rPr>
              <w:br/>
            </w:r>
            <w:r>
              <w:rPr>
                <w:sz w:val="19"/>
              </w:rPr>
              <w:br/>
            </w:r>
            <w:r>
              <w:rPr>
                <w:sz w:val="19"/>
              </w:rPr>
              <w:t>wjbrown@ug.edu.gh</w:t>
            </w:r>
          </w:p>
        </w:tc>
        <w:tc>
          <w:tcPr>
            <w:tcW w:w="4824" w:type="dxa"/>
            <w:tcBorders/>
            <w:shd w:val="nil" w:color="auto" w:fill="fbfbfb"/>
            <w:tcMar>
              <w:top w:w="80" w:type="dxa"/>
              <w:left w:w="100" w:type="dxa"/>
              <w:bottom w:w="80" w:type="dxa"/>
              <w:right w:w="100" w:type="dxa"/>
            </w:tcMar>
          </w:tcPr>
          <w:p w14:paraId="9E76F3F4">
            <w:pPr>
              <w:pStyle w:val="style0"/>
              <w:spacing w:after="80"/>
              <w:rPr/>
            </w:pPr>
            <w:r>
              <w:rPr>
                <w:sz w:val="19"/>
              </w:rPr>
              <w:t>Title:</w:t>
            </w:r>
            <w:r>
              <w:rPr>
                <w:sz w:val="19"/>
              </w:rPr>
              <w:br/>
            </w:r>
            <w:r>
              <w:rPr>
                <w:sz w:val="19"/>
              </w:rPr>
              <w:br/>
            </w:r>
            <w:r>
              <w:rPr>
                <w:sz w:val="19"/>
              </w:rPr>
              <w:t>Lead Security Assessor</w:t>
            </w:r>
          </w:p>
        </w:tc>
      </w:tr>
      <w:tr w14:paraId="741A5C99">
        <w:tblPrEx/>
        <w:trPr>
          <w:jc w:val="center"/>
        </w:trPr>
        <w:tc>
          <w:tcPr>
            <w:tcW w:w="4824" w:type="dxa"/>
            <w:tcBorders/>
            <w:shd w:val="nil" w:color="auto" w:fill="fbfbfb"/>
            <w:tcMar>
              <w:top w:w="80" w:type="dxa"/>
              <w:left w:w="100" w:type="dxa"/>
              <w:bottom w:w="80" w:type="dxa"/>
              <w:right w:w="100" w:type="dxa"/>
            </w:tcMar>
          </w:tcPr>
          <w:p w14:paraId="56584071">
            <w:pPr>
              <w:pStyle w:val="style0"/>
              <w:spacing w:after="80"/>
              <w:rPr/>
            </w:pPr>
            <w:r>
              <w:rPr>
                <w:sz w:val="19"/>
              </w:rPr>
              <w:t>Signature &amp; Date:</w:t>
            </w:r>
            <w:r>
              <w:rPr>
                <w:sz w:val="19"/>
              </w:rPr>
              <w:br/>
            </w:r>
            <w:r>
              <w:rPr/>
              <mc:AlternateContent>
                <mc:Choice Requires="wps">
                  <w:drawing>
                    <wp:anchor distT="0" distB="0" distL="0" distR="0" simplePos="false" relativeHeight="3" behindDoc="false" locked="false" layoutInCell="true" allowOverlap="true">
                      <wp:simplePos x="0" y="0"/>
                      <wp:positionH relativeFrom="character">
                        <wp:posOffset>320266</wp:posOffset>
                      </wp:positionH>
                      <wp:positionV relativeFrom="line">
                        <wp:posOffset>-498524</wp:posOffset>
                      </wp:positionV>
                      <wp:extent cx="1532940" cy="1246195"/>
                      <wp:effectExtent l="0" t="0" r="0" b="0"/>
                      <wp:wrapNone/>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1532940" cy="1246195"/>
                            </w14:xfrm>
                          </w14:contentPart>
                        </a:graphicData>
                      </a:graphic>
                    </wp:anchor>
                  </w:drawing>
                </mc:Choice>
                <mc:Fallback>
                  <w:pict>
                    <v:shape id="1029" filled="f" stroked="t" style="position:absolute;margin-left:25.22pt;margin-top:-39.25pt;width:120.7pt;height:98.13pt;z-index:3;mso-position-horizontal-relative:char;mso-position-vertical-relative:line;mso-width-relative:page;mso-height-relative:page;mso-wrap-distance-left:0.0pt;mso-wrap-distance-right:0.0pt;visibility:visible;">
                      <v:fill/>
                      <o:ink i="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"/>
                    </v:shape>
                  </w:pict>
                </mc:Fallback>
              </mc:AlternateContent>
            </w:r>
            <w:r>
              <w:rPr>
                <w:sz w:val="19"/>
              </w:rPr>
              <w:br/>
            </w:r>
            <w:r>
              <w:rPr>
                <w:sz w:val="19"/>
              </w:rPr>
              <w:t>____________________________________________</w:t>
            </w:r>
          </w:p>
        </w:tc>
        <w:tc>
          <w:tcPr>
            <w:tcW w:w="4824" w:type="dxa"/>
            <w:tcBorders/>
            <w:shd w:val="nil" w:color="auto" w:fill="fbfbfb"/>
            <w:tcMar>
              <w:top w:w="80" w:type="dxa"/>
              <w:left w:w="100" w:type="dxa"/>
              <w:bottom w:w="80" w:type="dxa"/>
              <w:right w:w="100" w:type="dxa"/>
            </w:tcMar>
          </w:tcPr>
          <w:p w14:paraId="E78CF49E">
            <w:pPr>
              <w:pStyle w:val="style0"/>
              <w:spacing w:after="80"/>
              <w:rPr/>
            </w:pPr>
            <w:r>
              <w:rPr>
                <w:sz w:val="19"/>
              </w:rPr>
              <w:t>Signature &amp; Date:</w:t>
            </w:r>
            <w:r>
              <w:rPr>
                <w:sz w:val="19"/>
              </w:rPr>
              <w:br/>
            </w:r>
            <w:r>
              <w:rPr>
                <w:sz w:val="19"/>
              </w:rPr>
              <w:br/>
            </w:r>
            <w:r>
              <w:rPr>
                <w:sz w:val="19"/>
              </w:rPr>
              <w:t>_____________</w:t>
            </w:r>
            <w:r>
              <w:rPr/>
              <mc:AlternateContent>
                <mc:Choice Requires="wps">
                  <w:drawing>
                    <wp:anchor distT="0" distB="0" distL="0" distR="0" simplePos="false" relativeHeight="2" behindDoc="false" locked="false" layoutInCell="true" allowOverlap="true">
                      <wp:simplePos x="0" y="0"/>
                      <wp:positionH relativeFrom="character">
                        <wp:posOffset>-623673</wp:posOffset>
                      </wp:positionH>
                      <wp:positionV relativeFrom="line">
                        <wp:posOffset>-309956</wp:posOffset>
                      </wp:positionV>
                      <wp:extent cx="1358629" cy="637492"/>
                      <wp:effectExtent l="0" t="0" r="0" b="0"/>
                      <wp:wrapNone/>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1358629" cy="637492"/>
                            </w14:xfrm>
                          </w14:contentPart>
                        </a:graphicData>
                      </a:graphic>
                    </wp:anchor>
                  </w:drawing>
                </mc:Choice>
                <mc:Fallback>
                  <w:pict>
                    <v:shape id="1028" filled="f" stroked="t" style="position:absolute;margin-left:-49.11pt;margin-top:-24.41pt;width:106.98pt;height:50.2pt;z-index:2;mso-position-horizontal-relative:char;mso-position-vertical-relative:line;mso-width-relative:page;mso-height-relative:page;mso-wrap-distance-left:0.0pt;mso-wrap-distance-right:0.0pt;visibility:visible;">
                      <v:fill/>
                      <o:ink i="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"/>
                    </v:shape>
                  </w:pict>
                </mc:Fallback>
              </mc:AlternateContent>
            </w:r>
            <w:r>
              <w:rPr>
                <w:sz w:val="19"/>
              </w:rPr>
              <w:t>_______________________________</w:t>
            </w:r>
          </w:p>
        </w:tc>
      </w:tr>
    </w:tbl>
    <w:p w14:paraId="DCA45025">
      <w:pPr>
        <w:rPr/>
      </w:pPr>
    </w:p>
    <w:sectPr>
      <w:pgSz w:w="12240" w:h="15840" w:orient="portrait"/>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80" w:lineRule="auto" w:line="276"/>
    </w:pPr>
    <w:rPr>
      <w:rFonts w:ascii="Calibri" w:hAnsi="Calibri"/>
      <w:color w:val="282828"/>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3dff69bf-454d-4486-8811-bd5300f3c5c7"/>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a3f188eb-c256-44d7-a018-144eb282e2ae"/>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4413175a-bf86-4f82-b2d2-85150954f9c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84e6a297-fd81-47fd-9aef-8c18960f094c"/>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82704a24-ec27-4dd3-8b57-288892a575af"/>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814cc196-57f9-4aab-930c-be62a47165f9"/>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e6ff1dd9-60e6-475e-b9a8-7a567f3f3c01"/>
    <w:basedOn w:val="style65"/>
    <w:next w:val="style4108"/>
    <w:link w:val="style180"/>
    <w:uiPriority w:val="29"/>
    <w:rPr>
      <w:i/>
      <w:iCs/>
      <w:color w:val="000000"/>
    </w:rPr>
  </w:style>
  <w:style w:type="character" w:customStyle="1" w:styleId="style4109">
    <w:name w:val="Heading 4 Char_b8ca9a7e-c652-4633-bd4b-53fe63602586"/>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3c8c749b-7617-4573-a1d0-4e11b558c501"/>
    <w:basedOn w:val="style65"/>
    <w:next w:val="style4110"/>
    <w:link w:val="style5"/>
    <w:uiPriority w:val="9"/>
    <w:rPr>
      <w:rFonts w:ascii="Calibri" w:cs="宋体" w:eastAsia="ＭＳ ゴシック" w:hAnsi="Calibri"/>
      <w:color w:val="243f60"/>
    </w:rPr>
  </w:style>
  <w:style w:type="character" w:customStyle="1" w:styleId="style4111">
    <w:name w:val="Heading 6 Char_517d23be-ca11-4db5-9004-6263d86d372f"/>
    <w:basedOn w:val="style65"/>
    <w:next w:val="style4111"/>
    <w:link w:val="style6"/>
    <w:uiPriority w:val="9"/>
    <w:rPr>
      <w:rFonts w:ascii="Calibri" w:cs="宋体" w:eastAsia="ＭＳ ゴシック" w:hAnsi="Calibri"/>
      <w:i/>
      <w:iCs/>
      <w:color w:val="243f60"/>
    </w:rPr>
  </w:style>
  <w:style w:type="character" w:customStyle="1" w:styleId="style4112">
    <w:name w:val="Heading 7 Char_3e899158-8082-4100-a0dc-917ccd579d19"/>
    <w:basedOn w:val="style65"/>
    <w:next w:val="style4112"/>
    <w:link w:val="style7"/>
    <w:uiPriority w:val="9"/>
    <w:rPr>
      <w:rFonts w:ascii="Calibri" w:cs="宋体" w:eastAsia="ＭＳ ゴシック" w:hAnsi="Calibri"/>
      <w:i/>
      <w:iCs/>
      <w:color w:val="404040"/>
    </w:rPr>
  </w:style>
  <w:style w:type="character" w:customStyle="1" w:styleId="style4113">
    <w:name w:val="Heading 8 Char_f97c3b14-bf65-4354-b5e2-c880d578af0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444c360-8c35-40b5-89e5-d713b79ea40b"/>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5e4b5831-89cb-410d-9ca6-4ef2ca474e8e"/>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customXml" Target="ink/ink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ink/ink1.xml><?xml version="1.0" encoding="utf-8"?>
<ink xmlns="http://www.w3.org/2003/InkML">
  <definitions>
    <brush xml:id="br1">
      <brushProperty name="color" value="#00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41.977 2414.63 533.15, 62.9 2370.004 810.865, 89.284 2327.235 832.081, 115.37 2287.451 833.703, 146.166 2241.675 844.135, 171.55 2204.258 837.707, 190.812 2176.088 833.956, 218.975 2133.349 828.321, 241.393 2102.84 824.902, 275.307 2057.84 821.236, 300.187 2021.721 818.233, 336.816 1970.565 812.455, 357.398 1940.389 810.058, 386.783 1895.808 807.828, 420.28 1856.993 812.859, 456.291 1814.631 823.316, 485.154 1780.792 834.785, 514.261 1743.934 844.536, 548.564 1702.393 851.455, 576.815 1668.59 853.989, 609.779 1631.706 852.638, 640.69 1592.58 851.203, 661.75 1564.007 851.527, 697.024 1520.305 853.919, 726.892 1490.697 858.372, 751.953 1459.623 866.564, 773.863 1502.521 867.464, 766.17 1537.445 861.537, 755.719 1567.718 855.594, 739.483 1615.205 842.759, 728.411 1653.058 834.272, 711.521 1713.503 817.108, 697.784 1761.546 807.092, 688.886 1792.691 798.978, 678.159 1832.737 788.936, 668.729 1876.064 781.063, 662.67 1904.186 777.478, 656.273 1939.707 774.919, 647.199 1982.511 773.93, 635.038 2045.625 779.76, 631.041 2085.683 784.18, 626.921 2145.683 797.125, 625.932 2184.983 804.135, 624.928 2244.343 814.229, 624.704 2278.527 818.517, 624.575 2329.771 825.099, 629.556 2365.922 827.69, 637.445 2416.965 832.062, 647.882 2447.031 834.199, 664.123 2488.973 838.431, 697.279 2533.822 846.603, 747.383 2550.739 852.024, 779.008 2542.707 850.811, 827.849 2523.806 841.776, 866.007 2497.509 831.583, 926.884 2449.101 797.21, 975.038 2401.501 765.116, 1006.536 2370.127 732.806, 1046.563 2327.723 696.098, 1089.88 2275.323 659.841, 1117.958 2241.097 632.558, 1150.958 2199.194 608.789, 1187.151 2154.665 592.261, 1210.627 2125.694 591.557, 1238.115 2092.178 600.166, 1260.698 2058.214 621.788, 1291.879 2009.829 683.985, 1317.482 1965.652 750.733, 1338.578 1923.723 804.72, 1351.147 1894.203 841.934, 1367.051 1844.981 862.321, 1368.538 1780.812 863.053, 1366.176 1738.605 860.176, 1361.066 1675.757 844.686, 1351.291 1635.656 834.829, 1333.195 1577.73 813.757, 1315.676 1544.773 805.205, 1289.379 1499.64 795.81, 1252.816 1466.642 797.619, 1213.695 1435.923 808.881, 1184.958 1417.704 824.594, 1141.101 1399.084 845.205, 1098.636 1391.779 856.854, 1058.077 1392.438 863.152, 1026.849 1404.401 865.818, 1001.906 1434.98 866.189, 993.357 1475.188 866.731, 1000.157 1519.129 865.55, 1007.19 1547.57 863.536, 1025.388 1591.683 860.305, 1052.097 1632.533 860.584, 1107.936 1648.934 861.179, 1154.84 1638.117 859.409, 1188.117 1623.347 855.607, 1229.032 1597.235 847.477, 1274.843 1561.539 837.151, 1312.156 1528.289 827.869, 1350.502 1491.492 820.633, 1383.627 1454.798 819.608, 1417.91 1414.358 833.111, 1441.242 1378.575 854.703, 1462.575 1348.816 871.484, 1504.366 1365.811 870.9, 1515.719 1332.351 870.557, 1550.413 1347.298 871.053, 1584.181 1369.312 868.234, 1620.003 1375.862 868.023, 1634.057 1338.507 867.677, 1635.1 1308.564 866.043, 1631.207 1265.259 862.956, 1623.584 1219.179 861.274, 1615.702 1180.338 862.505, 1649.698 1179.922 866.647, 1688.1 1185.771 865.458, 1725.571 1181.278 865.332, 1755.261 1154.435 866.818, 1799.243 1167.707 870.186, 1841.415 1215.003 863.431, 1888.968 1238.297 857.189, 1932.77 1252.291 853.992, 1973.965 1238.632 856.875, 1997.14 1203.515 858.626, 2006.09 1174.757 858.13, 2011.292 1131.301 852.498, 2010.119 1102.92 847.244, 2004.311 1062.093 839.296, 1992.957 998.411 821.695, 1978.079 949.532 808.352, 1968.234 917.467 794.822, 1952.049 877.133 777.339, 1929.042 833.622 759.773, 1913.896 805.271 747.839, 1894.282 769.685 738.322, 1871.607 729.348 732.975, 1837.351 671.503 740.208, 1817.303 641.204 747.077, 1788.54 599.282 771.738, 1763.673 567.523 804.022, 1722.647 531.331 861.039, 1724.758 568.66 863.578, 1746.616 632.865 857.489, 1764.547 675.272 849.013, 1791.35 740.827 827.61, 1816.036 782.733 808.73, 1852.526 845.074 766.433, 1883.159 885.159 745.959, 1928.515 945.472 726.051, 1959.778 984.843 719.822, 2005.591 1041.587 728.625, 2037.002 1074.111 735.829, 2082.972 1121.188 756.604, 2114.357 1152.772 768.367, 2157.782 1196.416 789.686, 2198.52 1237.102 808.931, 2232.592 1271.092 824.663, 2271.058 1313.705 850.704, 2273.853 1348.429 866.421, 2197.282 1383.882 859.786, 2161.158 1399.062 850.852, 2063.69 1448.426 810.691, 1890.763 1540.271 729.747, 1776.818 1600.732 650.589, 1641.991 1664.081 579.367, 1512.068 1712.722 515.323, 1427.632 1744.319 457.859, 1322.997 1779.785 406.147, 1212.918 1815.164 359.923, 1141.305 1838.124 320.416, 1050.54 1865.329 293.49, 950.203 1899.907 288.653, 885.808 1921.847 342.348, 804.779 1948.276 405.225, 718.064 1975.102 467.93, 661.951 1992.521 521.04, 590.933 2013.714 565.941, 518.048 2034.766 613.247, 470.849 2048.38 636.507, 413.179 2064.596 668.046, 353.876 2084.931 702.311, 315.724 2097.992 732.205, 268.697 2113.866 747.02, 223.715 2131.495 759.849, 194.79 2142.902 769.893, 161.208 2157.704 782.799, 124.903 2172.17 796.964, 73.998 2192.547 823.514, 37.142 2212.339 842.721, 0 2232.703 859.035, 70.213 2181.688 855.096, 148.597 2130.703 827.194, 221.186 2073.992 783.949, 269.047 2036.546 738.124, 336.8 1985.434 682.562, 423.14 1922.36 618.759, 479.461 1881.203 561.185, 555.546 1827.324 504.683, 642.121 1760.054 453.91, 698.612 1716.058 414.956, 772.097 1660.58 381.01, 854.293 1602.402 356.833, 907.531 1564.84 356.555, 976.643 1518.237 362.723, 1058.426 1468.383 376.036, 1111.154 1436.311 402.239, 1180.146 1395.616 429.803, 1261.815 1344.63 456.431, 1314.637 1311.758 480.806, 1383.586 1268.156 500.247, 1467.752 1212.775 516.039, 1522.592 1176.676 524.666, 1594.987 1128.717 525.377, 1676.441 1077.916 523.862, 1729.442 1044.852 518.513, 1795.706 1001.266 512.921, 1868.194 945.811 508.627, 1915.276 909.67 507.765, 1972.8 866.688 510.393, 2032.139 824.11 521.841, 2070.522 796.563 541.185, 2115.035 766.452 570.036, 2155.926 739.735 606.597, 2211.49 701.543 683.941, 2254.29 671.561 754.821, 2288.988 648.74 811.296, 2327.283 624.49 863.668, 2349.981 595.267 870.318, 2332.559 557.695 866.49, 2277.094 522.445 859.941, 2248.285 511.09 854.57, 2202.367 496.556 843.772, 2159.938 491.908 838.045, 2089.637 489.528 819.813, 2032.009 497.399 801.455, 1994.509 502.676 781.183, 1935.481 518.499 752.21, 1857.402 546.288 714.771, 1806.626 564.52 677.16, 1719.097 606.148 629.122, 1595.164 678.069 571.678, 1513.963 725.463 515.171, 1412.357 790.485 461.409, 1306.805 860.106 414.36, 1238.077 905.617 375.107, 1156.573 964.725 341.193, 1074.179 1032.867 316.927, 1020.785 1077.292 303.81, 956.574 1135.677 296.412, 890.668 1198.128 311.083, 848.549 1238.303 355.091, 796.468 1291.617 406.403, 740.859 1353.202 457.635, 704.995 1393.177 509.596, 662.023 1446.236 558.348, 619.646 1502.741 606.224, 592.321 1539.344 639.017, 559.806 1587.749 670.804, 526.616 1648.711 701.344, 505.257 1688.285 721.789, 481.537 1743.598 730.579, 456.49 1811.563 731.611, 440.445 1855.578 726.258, 422.615 1916.346 717.233, 408.8 1995.324 702.384, 399.987 2046.923 682.497, 396.786 2112.265 664.1, 402.374 2184.289 646.393, 406.247 2231.001 629.603, 418.654 2288.458 616.08, 441.793 2350.309 605.716, 457.121 2390.332 603.989, 484.363 2436.008 606.035, 524.582 2482.694 608.58, 550.983 2512.683 617.426, 597.802 2544.444 622.659, 668.046 2572.136 619.755, 714.112 2589.826 617.076, 785.88 2596.243 603.741, 879.711 2582.614 579.478, 941.167 2573.179 553.191, 1027.759 2547.367 518.189, 1136.108 2497.945 478.836, 1206.882 2465.192 441.963, 1299.547 2409.433 403.283, 1404.205 2323.224 368.931, 1472.108 2266.628 341.128, 1555.671 2187.961 316.103, 1646.778 2089.582 297.371, 1705.615 2025.542 285.259, 1775.969 1944.407 276.466, 1848.464 1859.554 273.963, 1894.968 1804.738 283.507, 1945.021 1741.819 299.687, 1986.89 1676.484 329.231, 2013.662 1634.28 379.816, 2038.369 1589.832 444.498, 2056.388 1549.046 509.945, 2077.385 1493.833 635.87, 2082.632 1451.378 736.57, 2072.794 1416.89 804.515, 2043.297 1380.513 848.707, 1987.732 1345.031 847.316, 1937.373 1324.519 838.507, 1886.828 1304.972 828.706, 1853.757 1292.198 818.777, 1807.677 1279.053 798.529, 1757.869 1268.082 776.089, 1725.393 1261.015 754.221, 1684.596 1253.967 734.678, 1643.271 1249.452 722.677, 1586.832 1244.779 727.872, 1543.46 1247.191 753.131, 1508.432 1253.37 786.249, 1469.904 1271.169 848.582, 1511.778 1300.179 862.898, 1561.808 1303.541 855.752, 1615.779 1301.901 843.504, 1650.911 1300.796 830.937, 1698.598 1300.066 805.355, 1751.973 1292.14 773.713, 1786.756 1286.866 745.544, 1829.131 1280.997 716.154, 1871.482 1277.151 694.141, 1931.518 1273.03 694.126, 1959.909 1274.46 703.619, 1997.135 1276.062 741.328, 2042.296 1295.105 808.012, 2062.544 1327.416 858.455, 2054.603 1365.172 861.34, 2037.542 1399.236 858.063, 2009.282 1438.678 849.877, 1941.405 1513.503 813.769, 1852.129 1587.558 760.681, 1794.085 1635.627 698.92, 1716.56 1694.228 631.404, 1631.339 1747.164 567.484, 1575.489 1781.658 508.606, 1507.337 1816.307 455.687, 1435.778 1846.102 413.48, 1389.281 1865.203 391.939, 1331.922 1885.011 383.72, 1275.214 1902.436 394.701, 1238.869 1913.262 447.704, 1195.579 1922.719 505.074, 1150.546 1930.993 563.093, 1121.47 1936.203 621.018, 1087.91 1942.042 674.729, 1056.563 1945.676 723.531, 1013.537 1949.397 799.651, 976.199 1951.057 854.468, 1014.231 1905.636 858.044, 1090.344 1855.219 832.02, 1197.155 1784.281 776.052, 1267.202 1737.782 708.548, 1369.389 1670.615 633.738, 1495.543 1584.632 564.486, 1578.086 1528.398 502.19, 1685.948 1452.411 446.346, 1810.678 1360.789 396.384, 1891.782 1301.196 352.979, 1996.494 1227.835 314.339, 2111.271 1150.634 284.345, 2185.36 1100.821 270.624, 2275.422 1041.325 264.937, 2365.572 983.228 278.528, 2423.577 945.902 311.1, 2488.454 904.344 353.221, 2549.816 865.412 409.696, 2589.032 840.633 472.848, 2629.392 814.614 538.219, 2664.886 793.185 602.129, 2709.447 765.848 714.227, 2747.35 740.869 825.001, 2776.83 718.49 568.154</trace>
  <trace timeOffset="0.0" brushRef="#br1" contextRef="#ctx0"> 2575.93 582.599 533.15</trace>
  <trace timeOffset="0.0" brushRef="#br1" contextRef="#ctx0"> 2828.623 329.907 533.15</trace>
  <trace timeOffset="0.0" brushRef="#br1" contextRef="#ctx0"> 3193.625 -0.001 533.15</trace>
  <trace timeOffset="0.0" brushRef="#br1" contextRef="#ctx0"> 2428.525 807.218 533.15</trace>
  <trace timeOffset="0.0" brushRef="#br1" contextRef="#ctx0"> 2716.315 624.718 533.15</trace>
  <trace timeOffset="0.0" brushRef="#br1" contextRef="#ctx0"> 3067.278 315.87 533.15</trace>
  <trace timeOffset="0.0" brushRef="#br1" contextRef="#ctx0"> 2267.082 877.409 533.15</trace>
  <trace timeOffset="0.0" brushRef="#br1" contextRef="#ctx0"> 2400.448 652.792 533.15</trace>
  <trace timeOffset="0.0" brushRef="#br1" contextRef="#ctx0"> 2849.681 266.732 533.15</trace>
</ink>
</file>

<file path=word/ink/ink2.xml><?xml version="1.0" encoding="utf-8"?>
<ink xmlns="http://www.w3.org/2003/InkML">
  <definitions>
    <brush xml:id="br1">
      <brushProperty name="color" value="#00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8514.487 48912.109 533.15, 8578.364 48901.379 828.783, 8649.822 48873.633 866.646, 8713.857 48848.41 867.109, 8774.543 48849.492 871.836, 8784.303 48919.508 869.872, 8771.233 48991.059 867.181, 8765.305 49061.094 866.909, 8758.467 49130.809 865.548, 8756.634 49206.777 863.255, 8756.131 49283.121 861.119, 8766.638 49360.73 863.375, 8833.462 49347.293 870.05, 8884.238 49281.055 870.207, 8956.465 49353.824 869.925, 9015.355 49372.789 869.607, 9106.057 49341.688 865.94, 9163.177 49313.012 863.171, 9220.153 49273.801 861.535, 9275.94 49206.883 866.976, 9359.045 49209.812 871.06, 9462.927 49207.953 866.372, 9536.921 49196.301 859.97, 9623.042 49171.223 850.155, 9712.101 49132.195 839.757, 9777.479 49092.23 836.254, 9854.302 49032.168 841.012, 9900.383 48974.242 850.767, 9915.323 48913.148 864.399, 9855.724 48904.926 868.491, 9797.762 48977.734 866.292, 9744.726 49037.16 863.523, 9705.705 49105.168 865.636, 9772.593 49111.137 868.833, 9804.131 49047.297 865.548, 9872.349 49022.879 869.567, 9932.067 48957.656 867.231, 9911.309 49019.785 868.347, 9895.89 49084.613 865.548, 9935.445 49162.387 864.471, 10004.07 49181.105 863.763, 10073.822 49177.07 861.594, 10131.67 49163.863 858.018, 10219.021 49139.512 846.11, 10281.316 49109.129 838.191, 10373.397 49056.07 823.65, 10431.82 49004.324 815.859, 10519.28 48923.414 804.012, 10596.637 48839.738 798.312, 10671.802 48751.531 800.764, 10724.464 48681.285 812.174, 10772.343 48614.371 826.971, 10818.573 48546.867 840.505, 10872.122 48464.648 855.444, 10909.038 48394.277 862.334, 10934.418 48333.637 864.758, 10956.782 48266.453 869.038, 10951.388 48344.215 868.978, 10922.777 48426.23 865.405, 10905.428 48490.922 861.722, 10878.09 48572.984 854.934, 10843.339 48670.473 846.57, 10808.747 48756.602 838.613, 10771.162 48841.891 834.266, 10728.833 48930.547 833.921, 10694.429 49000.852 838.805, 10656.99 49059.328 844.869, 10609.842 49123.352 851.298, 10531.053 49208.738 857.751, 10468.834 49259.984 858.277, 10379.582 49324.379 853.98, 10265.785 49390.992 843.668, 10164.537 49443.797 830.133, 10091.763 49468.016 823.337, 9983.728 49503.777 813.168, 9904.245 49521.727 808.439, 9784.088 49545.605 804.112, 9704.624 49553.477 802.8, 9584.647 49561.59 803.168, 9505.271 49573.547 804.01, 9385.37 49591.375 807.062, 9300.978 49592.707 807.839, 9175.846 49593.996 809.587, 9100.247 49594.27 810.656, 8989.56 49594.566 813.844, 8919.693 49589.621 815.869, 8815.132 49584.062 821.156, 8751.694 49577.527 824.585, 8659.213 49570.609 833.27, 8571.588 49550.973 841.544, 8487.025 49534.449 848.411, 8427.137 49527.578 854.111, 8353.553 49513.578 860.858, 8286.535 49501 869.018, 8367.854 49443.891 867.838, 8456.819 49426.66 862.999, 8543.784 49405.227 854.439, 8600.882 49391.125 844.945, 8677.701 49372.035 832.988, 8778.062 49344.512 812.752, 8843.882 49326.516 793.105, 8936.306 49304.965 769.083, 9051.65 49285.984 742.398, 9127.057 49273.633 720.993, 9225.586 49260.641 700.249, 9354.721 49232.094 683.977, 9438.723 49213.52 676.415, 9548.046 49191.586 667.879, 9674.043 49162.332 659.746, 9756.13 49143.285 658.903, 9864.079 49116.02 658.127, 9989.052 49073.211 659.426, 10070.105 49045.195 664.587, 10182.725 49002.031 666.14, 10325.863 48943.777 664.313, 10418.649 48905.918 661.152, 10564.054 48851.324 648.966, 10763.73 48770.586 626.225, 10894.21 48717.691 599.548, 10977.574 48683.934 545.704, 11046.276 48656.293 475.374, 11117.013 48627.273 405.849</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653</Words>
  <Pages>1</Pages>
  <Characters>4592</Characters>
  <Application>WPS Office</Application>
  <DocSecurity>0</DocSecurity>
  <Paragraphs>89</Paragraphs>
  <ScaleCrop>false</ScaleCrop>
  <LinksUpToDate>false</LinksUpToDate>
  <CharactersWithSpaces>5172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TECNO KM5</lastModifiedBy>
  <dcterms:modified xsi:type="dcterms:W3CDTF">2026-09-03T16:13:57Z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e452c6a7057f4be5a836f3ce5a0fd390_23</vt:lpwstr>
  </property>
</Properties>
</file>