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 _______________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Игорь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Учебная Программа общая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(_______________)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"Управление охраной труда в организации и проведение работ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"Система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Тема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>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3500" w:type="dxa"/>
          </w:tcPr>
          <w:p>
            <w:pPr/>
            <w:r>
              <w:rPr/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безопасным методам и приемам выполнения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по использованию (применению)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</w:t>
            </w:r>
          </w:p>
        </w:tc>
        <w:tc>
          <w:tcPr>
            <w:tcW w:w="3500" w:type="dxa"/>
          </w:tcPr>
          <w:p>
            <w:pPr/>
            <w:r>
              <w:rPr/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требованиям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Видеоуроки "Средства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58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59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"Управление охраной труда в организации и проведение работ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"Система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Тема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общим вопросам охраны труда и функционирования системы управления охраной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6.13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6.15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6.24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6.29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6.38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6.39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6.42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6.48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6.54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6.59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6.60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6.62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при воздействии вредных и (или) опасных производственных факторов, опасностей, идентифицированных в рамках СУОТ в организации и ОПР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7.4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7.5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7.6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7.9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7.26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7.30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7.33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7.35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Основы охраны труда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8.4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8.5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8.6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Система управления охраной труда в организации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9.7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Расследование и предупреждение несчастных случаев и профессиональных заболеваний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Оценка уровня профессионального риска выявленных (идентифицированных) опасностей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11.2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11.3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11.5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13.5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Специальные вопросы обеспечения безопасности производства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14.5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Отчетность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15.6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16.8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Специальная оценка условий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17.2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17.4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17.5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Обеспечение работников средствами индивидуальной защиты, смывающими и обезвреживающими средствами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18.6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Стратегия безопасности труда и охраны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19.7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Классификация опасностей. 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безопасным методам и приемам выполнения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21.39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21.49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21.53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21.55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21.56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21.58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по использованию (применению)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22.6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22.9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"Защита от высоких температур и теплового излучения"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 должны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22.14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22.17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22.19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электрической дуги"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22.23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Безопасные методы и приемы выполнения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23.2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23.5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Меры защиты от воздействия вредных и (или)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Разработка мероприятий по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Обучение требованиям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28.29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28.38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28.39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28.40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28.43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28.44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28.46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28.47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28.48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по общим вопросам охраны труда и функционирования системы управления охраной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28.49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Основные направления защиты от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28.50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Мероприятия по улучшению условий и охраны труда, ликвидации или снижению уровней профессиональных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28.51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Производственные травмы: виды, причины, профилактика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28.52</w:t>
            </w:r>
          </w:p>
        </w:tc>
        <w:tc>
          <w:tcPr>
            <w:tcW w:w="3500" w:type="dxa"/>
          </w:tcPr>
          <w:p>
            <w:pPr/>
            <w:r>
              <w:rPr/>
              <w:t xml:space="preserve">Стратегия работодателя в области труда. Цели и задачи работодателя по достижению целей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требования к организации рабочего места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28.54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охраны труда при организации проведения работ. Что учесть при разработке правил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28.55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Информирование сотрудников об условиях и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28.56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защиты работников от воздействия опасных и вредных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28.57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Общие понятия обеспечения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28.59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безопасности производственной деятельности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28.60</w:t>
            </w:r>
          </w:p>
        </w:tc>
        <w:tc>
          <w:tcPr>
            <w:tcW w:w="3500" w:type="dxa"/>
          </w:tcPr>
          <w:p>
            <w:pPr/>
            <w:r>
              <w:rPr/>
              <w:t xml:space="preserve">Идентификация вредных и опасных производственных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Распространение передового опыта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мотивировать работника следовать правилам безопасности труда?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"Стратегия безопасности труда и охраны здоровья"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28.65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28.66</w:t>
            </w:r>
          </w:p>
        </w:tc>
        <w:tc>
          <w:tcPr>
            <w:tcW w:w="3500" w:type="dxa"/>
          </w:tcPr>
          <w:p>
            <w:pPr/>
            <w:r>
              <w:rPr/>
              <w:t xml:space="preserve">Несчастный случай. Кому необходимо сообщить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28.67</w:t>
            </w:r>
          </w:p>
        </w:tc>
        <w:tc>
          <w:tcPr>
            <w:tcW w:w="3500" w:type="dxa"/>
          </w:tcPr>
          <w:p>
            <w:pPr/>
            <w:r>
              <w:rPr/>
              <w:t xml:space="preserve">Микротравмы. Как учитывать и расследовать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28.68</w:t>
            </w:r>
          </w:p>
        </w:tc>
        <w:tc>
          <w:tcPr>
            <w:tcW w:w="3500" w:type="dxa"/>
          </w:tcPr>
          <w:p>
            <w:pPr/>
            <w:r>
              <w:rPr/>
              <w:t xml:space="preserve">Задачи, основные понятия и принципы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28.69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Права и обязанности субъектов обязательного социального страхования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Организация и проведение внутреннего аудита безопасности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"Расследование и предупреждение несчастных случаев и профессиональных заболеваний"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28.72</w:t>
            </w:r>
          </w:p>
        </w:tc>
        <w:tc>
          <w:tcPr>
            <w:tcW w:w="3500" w:type="dxa"/>
          </w:tcPr>
          <w:p>
            <w:pPr/>
            <w:r>
              <w:rPr/>
              <w:t xml:space="preserve">Для чего нужна специальная оценка условий труда и из чего она состоит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28.73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подавать отчеты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28.74</w:t>
            </w:r>
          </w:p>
        </w:tc>
        <w:tc>
          <w:tcPr>
            <w:tcW w:w="3500" w:type="dxa"/>
          </w:tcPr>
          <w:p>
            <w:pPr/>
            <w:r>
              <w:rPr/>
              <w:t xml:space="preserve">Новый порядок обучения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28.75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1-Т (условия труда)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28.77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Обучение мерам пожарной безопасности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28.78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28.79</w:t>
            </w:r>
          </w:p>
        </w:tc>
        <w:tc>
          <w:tcPr>
            <w:tcW w:w="3500" w:type="dxa"/>
          </w:tcPr>
          <w:p>
            <w:pPr/>
            <w:r>
              <w:rPr/>
              <w:t xml:space="preserve">Четыре шага для грамотной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28.80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мероприятия провести после спецоценки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28.83</w:t>
            </w:r>
          </w:p>
        </w:tc>
        <w:tc>
          <w:tcPr>
            <w:tcW w:w="3500" w:type="dxa"/>
          </w:tcPr>
          <w:p>
            <w:pPr/>
            <w:r>
              <w:rPr/>
              <w:t xml:space="preserve">Инструктажи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Вводный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28.85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отчитаться по приложению к форме № 7-травматизм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Разногласия по итогам СОУТ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"Специальная оценка условий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28.89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Какие сведения подать в ФСС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28.90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"Отчетность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28.91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28.92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"Обеспечение работников средствами индивидуальной защиты, смывающими и обезвреживающими средствами"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"Средства индивидуальной защиты от воздействия вредных и (или) опасных производственных факторов"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28.95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Советы для ответственных за вводный инструктаж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28.96</w:t>
            </w:r>
          </w:p>
        </w:tc>
        <w:tc>
          <w:tcPr>
            <w:tcW w:w="3500" w:type="dxa"/>
          </w:tcPr>
          <w:p>
            <w:pPr/>
            <w:r>
              <w:rPr/>
              <w:t xml:space="preserve">Первичный и повторный инструктажи на рабочем месте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Внеплановый инструктаж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28.98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"Обучение по охране труда"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28.99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28.100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28.101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28.103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законодательства в области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28.104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такое Система управления охраны труда (СУОТ)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28.105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разработать положение о СУОТ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28.106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анализ и планирование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28.107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внедрить СУОТ: разработка, проверка и анализ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28.108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оценить эффективность СУОТ и подобрать методы улучшения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28.109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Профессиональные риски. Основные положения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28.110</w:t>
            </w:r>
          </w:p>
        </w:tc>
        <w:tc>
          <w:tcPr>
            <w:tcW w:w="3500" w:type="dxa"/>
          </w:tcPr>
          <w:p>
            <w:pPr/>
            <w:r>
              <w:rPr/>
              <w:t xml:space="preserve">Управление профрисками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28.111</w:t>
            </w:r>
          </w:p>
        </w:tc>
        <w:tc>
          <w:tcPr>
            <w:tcW w:w="3500" w:type="dxa"/>
          </w:tcPr>
          <w:p>
            <w:pPr/>
            <w:r>
              <w:rPr/>
              <w:t xml:space="preserve">Как составить инструкции по охране труда по новому порядку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28.112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"Безопасные методы и приемы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28.114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28.115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"Специальные вопросы обеспечения безопасности производства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28.116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снабжения безопасной продукцией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28.117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Рабочее время и время отдыха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28.118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наблюдения за состоянием здоровья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28.119</w:t>
            </w:r>
          </w:p>
        </w:tc>
        <w:tc>
          <w:tcPr>
            <w:tcW w:w="3500" w:type="dxa"/>
          </w:tcPr>
          <w:p>
            <w:pPr/>
            <w:r>
              <w:rPr/>
              <w:t xml:space="preserve">Санитарно-бытовое и лечебно-профилактическое обслуживание работников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работников молоком и лечебно-профилактическим питанием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28.121</w:t>
            </w:r>
          </w:p>
        </w:tc>
        <w:tc>
          <w:tcPr>
            <w:tcW w:w="3500" w:type="dxa"/>
          </w:tcPr>
          <w:p>
            <w:pPr/>
            <w:r>
              <w:rPr/>
              <w:t xml:space="preserve">Что прописать в Порядке управления профессиональными рисками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28.122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"Система управления охраной труда в организации"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28.123</w:t>
            </w:r>
          </w:p>
        </w:tc>
        <w:tc>
          <w:tcPr>
            <w:tcW w:w="3500" w:type="dxa"/>
          </w:tcPr>
          <w:p>
            <w:pPr/>
            <w:r>
              <w:rPr/>
              <w:t xml:space="preserve">Методы оценки профрисков по рекомендации Минтруда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28.124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результатов оценки профрисков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План мероприятий по корректировке рисков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28.126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"Обучение безопасным методам и приемам выполнения работ"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28.127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"Оценка уровня профессионального риска выявленных (идентифицированных) опасностей"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28.128</w:t>
            </w:r>
          </w:p>
        </w:tc>
        <w:tc>
          <w:tcPr>
            <w:tcW w:w="3500" w:type="dxa"/>
          </w:tcPr>
          <w:p>
            <w:pPr/>
            <w:r>
              <w:rPr/>
              <w:t xml:space="preserve">Изменения в охране труда для руководителей и специалистов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28.129</w:t>
            </w:r>
          </w:p>
        </w:tc>
        <w:tc>
          <w:tcPr>
            <w:tcW w:w="3500" w:type="dxa"/>
          </w:tcPr>
          <w:p>
            <w:pPr/>
            <w:r>
              <w:rPr/>
              <w:t xml:space="preserve">Дистанционный видеоконтроль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28.130</w:t>
            </w:r>
          </w:p>
        </w:tc>
        <w:tc>
          <w:tcPr>
            <w:tcW w:w="3500" w:type="dxa"/>
          </w:tcPr>
          <w:p>
            <w:pPr/>
            <w:r>
              <w:rPr/>
              <w:t xml:space="preserve">Электронный документооборот в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28.131</w:t>
            </w:r>
          </w:p>
        </w:tc>
        <w:tc>
          <w:tcPr>
            <w:tcW w:w="3500" w:type="dxa"/>
          </w:tcPr>
          <w:p>
            <w:pPr/>
            <w:r>
              <w:rPr/>
              <w:t xml:space="preserve">Государственный надзор и контроль за соблюдением требований охраны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28.132</w:t>
            </w:r>
          </w:p>
        </w:tc>
        <w:tc>
          <w:tcPr>
            <w:tcW w:w="3500" w:type="dxa"/>
          </w:tcPr>
          <w:p>
            <w:pPr/>
            <w:r>
              <w:rPr/>
              <w:t xml:space="preserve">Социальное партнерство в сфере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28.133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разделу "Основы охраны труда в Российской Федерации"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безопасным методам и приемам выполнения работ повышенной опасности"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30.2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 наряду-допуску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Оформление наряд-допуска на работу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30.4</w:t>
            </w:r>
          </w:p>
        </w:tc>
        <w:tc>
          <w:tcPr>
            <w:tcW w:w="3500" w:type="dxa"/>
          </w:tcPr>
          <w:p>
            <w:pPr/>
            <w:r>
              <w:rPr/>
              <w:t xml:space="preserve">Допуск сотрудников к выполнению работ с повышенной опасностью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30.6</w:t>
            </w:r>
          </w:p>
        </w:tc>
        <w:tc>
          <w:tcPr>
            <w:tcW w:w="3500" w:type="dxa"/>
          </w:tcPr>
          <w:p>
            <w:pPr/>
            <w:r>
              <w:rPr/>
              <w:t xml:space="preserve">Требования к работникам, выполняющим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30.7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Отраслевые и межотраслевые правила по охране труда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30.8</w:t>
            </w:r>
          </w:p>
        </w:tc>
        <w:tc>
          <w:tcPr>
            <w:tcW w:w="3500" w:type="dxa"/>
          </w:tcPr>
          <w:p>
            <w:pPr/>
            <w:r>
              <w:rPr/>
              <w:t xml:space="preserve"> Одноименные работы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30.9</w:t>
            </w:r>
          </w:p>
        </w:tc>
        <w:tc>
          <w:tcPr>
            <w:tcW w:w="3500" w:type="dxa"/>
          </w:tcPr>
          <w:p>
            <w:pPr/>
            <w:r>
              <w:rPr/>
              <w:t xml:space="preserve">Ответственность за нарушение порядка проведения работ повышенной опасности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30.10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Обеспечение безопасного выполнения подрядных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окрасочных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работ, связанных с хранением, транспортированием и реализацией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хранении, транспортировании и реализации нефтепродуктов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электросварочных и газосварочных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объектов теплоснабжения и теплопотребляющих установок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осуществлении производственных процессов, связанных с использованием химических веществ,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использовании отдельных видов химических веществ и материалов, при химической чистке, стирке, обеззараживании и дезактивации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жилищно-коммунальном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отдельных видов пищевой продукции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строительстве, реконструкции и ремонте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размещении, монтаже, техническом обслуживании и ремонте технологического оборудования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работе с ручным пиротехническим инструментом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с инструментом и приспособлениями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техническом обслуживании и ремонте транспортных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автомобильном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организации работ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на высоте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эксплуатации промышленного транспорта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лесозаготовительном, деревообрабатывающем производствах и при выполнении лесохозяйственных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дорожных строительных и ремонтно-строительных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выполнении работ на объектах связи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46.3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целлюлозно-бумажной и лесохимической промышленности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47.3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на городском электрическом транспорте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48.3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нанесении металлопокрытий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49.3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производстве цемента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50.3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проведении полиграфических работ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51.3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в сельском хозяйстве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52.3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53.1</w:t>
            </w:r>
          </w:p>
        </w:tc>
        <w:tc>
          <w:tcPr>
            <w:tcW w:w="3500" w:type="dxa"/>
          </w:tcPr>
          <w:p>
            <w:pPr/>
            <w:r>
              <w:rPr/>
              <w:t xml:space="preserve">Работы повышенной опасности в замкнутых объемах и ограниченных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53.2</w:t>
            </w:r>
          </w:p>
        </w:tc>
        <w:tc>
          <w:tcPr>
            <w:tcW w:w="3500" w:type="dxa"/>
          </w:tcPr>
          <w:p>
            <w:pPr/>
            <w:r>
              <w:rPr/>
              <w:t xml:space="preserve">Правила по охране труда при работе в ограниченных и замкнутых пространствах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53.3</w:t>
            </w:r>
          </w:p>
        </w:tc>
        <w:tc>
          <w:tcPr>
            <w:tcW w:w="3500" w:type="dxa"/>
          </w:tcPr>
          <w:p>
            <w:pPr/>
            <w:r>
              <w:rPr/>
              <w:t xml:space="preserve">Демонстрация реальных нарушений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и коллективной защиты. Общие сведения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54.2</w:t>
            </w:r>
          </w:p>
        </w:tc>
        <w:tc>
          <w:tcPr>
            <w:tcW w:w="3500" w:type="dxa"/>
          </w:tcPr>
          <w:p>
            <w:pPr/>
            <w:r>
              <w:rPr/>
              <w:t xml:space="preserve">Классификация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Выдача смывающих и обезвреживающих средств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54.4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Порядок выдачи средств индивидуальной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54.5</w:t>
            </w:r>
          </w:p>
        </w:tc>
        <w:tc>
          <w:tcPr>
            <w:tcW w:w="3500" w:type="dxa"/>
          </w:tcPr>
          <w:p>
            <w:pPr/>
            <w:r>
              <w:rPr/>
              <w:t xml:space="preserve">Понятие и классификация средств коллективной защиты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Видеоуроки "Средства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головы"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"Одежда специальная защитная"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55.3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ног"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55.4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рук"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55.5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дыхания"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55.6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лица и органов зрения"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55.7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органов слуха"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55.8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комплексные"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55.9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падения с высоты и другие предохранительные средства"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55.10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дерматологические защитные"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56.1</w:t>
            </w:r>
          </w:p>
        </w:tc>
        <w:tc>
          <w:tcPr>
            <w:tcW w:w="3500" w:type="dxa"/>
          </w:tcPr>
          <w:p>
            <w:pPr/>
            <w:r>
              <w:rPr/>
              <w:t xml:space="preserve">Тест по программе "Обучение по использованию (применению) средств индивидуальной защиты"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57.1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механических воздействий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58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58.1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химических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59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59.1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радиационных факторов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60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пониженных температур, повышенных температур и тепловых излучений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60.2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"Защита от высоких температур и теплового излучения"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61.1</w:t>
            </w:r>
          </w:p>
        </w:tc>
        <w:tc>
          <w:tcPr>
            <w:tcW w:w="3500" w:type="dxa"/>
          </w:tcPr>
          <w:p>
            <w:pPr/>
            <w:r>
              <w:rPr/>
              <w:t xml:space="preserve">Средства индивидуальной защиты от термических рисков электрической дуги, неионизирующих излучений, поражений электрическим током, а также от воздействия статического электричества должны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61.2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Видеоурок "Средства защиты от электрической дуги"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_______________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