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主策划案 V0.3</w:t>
      </w:r>
    </w:p>
    <w:p>
      <w:pPr>
        <w:pStyle w:val="Subtitle"/>
      </w:pPr>
      <w:r>
        <w:t>死灵法术怪物养成 × 模块物理 × 横版进攻</w:t>
      </w:r>
    </w:p>
    <w:p>
      <w:pPr/>
      <w:r>
        <w:t>修订日期 2026年10月3日 本轮更新模块与进攻规则 养成变异保留原文</w:t>
      </w:r>
    </w:p>
    <w:p>
      <w:pPr/>
      <w:r>
        <w:t>文档说明：本文档只描述策划规则、玩家体验与系统接口，不展开程序架构和具体实现方案。</w:t>
      </w:r>
    </w:p>
    <w:p>
      <w:pPr>
        <w:pStyle w:val="Heading1"/>
      </w:pPr>
      <w:r>
        <w:t>1 项目定位</w:t>
      </w:r>
    </w:p>
    <w:p>
      <w:pPr/>
      <w:r>
        <w:t>玩家扮演一个被工作逼疯的现代上班族，得到一本能够召唤和记录怪物的死灵之书。在死灵之书连接的培养空间中，玩家通过洪水、地震、雷电、燃烧等死灵法术制造特殊环境，让一批初始怪物发生随机变异；玩家从不断分化的种群中挑选、记录和召唤优秀怪物，再把它们放到现实世界中，从乡村一路进攻到城市与公司。</w:t>
      </w:r>
    </w:p>
    <w:p>
      <w:pPr/>
      <w:r>
        <w:t>一句话玩法：用死灵法术“养”出不可预知的模块化怪物，再让它们以真实物理结构去拆房、抗火力、踩人、撞车，最终摧毁公司。</w:t>
      </w:r>
    </w:p>
    <w:p>
      <w:pPr>
        <w:pStyle w:val="Heading1"/>
        <w:keepNext/>
      </w:pPr>
      <w:r>
        <w:t>2 设计支柱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572"/>
        <w:gridCol w:w="4195"/>
      </w:tblGrid>
      <w:tr>
        <w:trPr>
          <w:cantSplit/>
          <w:tblHeader/>
        </w:trPr>
        <w:tc>
          <w:tcPr>
            <w:tcW w:w="1871" w:type="dxa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  <w:ind w:left="0"/>
              <w:jc w:val="center"/>
            </w:pPr>
            <w:r>
              <w:rPr>
                <w:rFonts w:eastAsia="等线" w:ascii="Arial" w:cs="Arial" w:hAnsi="Arial"/>
                <w:b/>
                <w:color w:val="000000"/>
                <w:sz w:val="19"/>
              </w:rPr>
              <w:t>支柱</w:t>
            </w:r>
          </w:p>
        </w:tc>
        <w:tc>
          <w:tcPr>
            <w:tcW w:w="3572" w:type="dxa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  <w:ind w:left="0"/>
              <w:jc w:val="center"/>
            </w:pPr>
            <w:r>
              <w:rPr>
                <w:rFonts w:eastAsia="等线" w:ascii="Arial" w:cs="Arial" w:hAnsi="Arial"/>
                <w:b/>
                <w:color w:val="000000"/>
                <w:sz w:val="19"/>
              </w:rPr>
              <w:t>设计含义</w:t>
            </w:r>
          </w:p>
        </w:tc>
        <w:tc>
          <w:tcPr>
            <w:tcW w:w="4195" w:type="dxa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  <w:ind w:left="0"/>
              <w:jc w:val="center"/>
            </w:pPr>
            <w:r>
              <w:rPr>
                <w:rFonts w:eastAsia="等线" w:ascii="Arial" w:cs="Arial" w:hAnsi="Arial"/>
                <w:b/>
                <w:color w:val="000000"/>
                <w:sz w:val="19"/>
              </w:rPr>
              <w:t>不能退化成什么</w:t>
            </w:r>
          </w:p>
        </w:tc>
      </w:tr>
      <w:tr>
        <w:trPr>
          <w:cantSplit/>
        </w:trPr>
        <w:tc>
          <w:tcPr>
            <w:tcW w:w="187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间接养成</w:t>
            </w:r>
          </w:p>
        </w:tc>
        <w:tc>
          <w:tcPr>
            <w:tcW w:w="357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玩家通过环境与咒语影响变异，不直接在编辑器里点选最终结果。</w:t>
            </w:r>
          </w:p>
        </w:tc>
        <w:tc>
          <w:tcPr>
            <w:tcW w:w="419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“选择长腿 / 选择翅膀”的普通技能树。</w:t>
            </w:r>
          </w:p>
        </w:tc>
      </w:tr>
      <w:tr>
        <w:trPr>
          <w:cantSplit/>
        </w:trPr>
        <w:tc>
          <w:tcPr>
            <w:tcW w:w="187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模块物理</w:t>
            </w:r>
          </w:p>
        </w:tc>
        <w:tc>
          <w:tcPr>
            <w:tcW w:w="357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模块按格生成，占格与碰撞形状分开；连接永久保持，实际运动与攻击由模块参数和物理接触决定。</w:t>
            </w:r>
          </w:p>
        </w:tc>
        <w:tc>
          <w:tcPr>
            <w:tcW w:w="419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隐藏总战力数字决定一切。</w:t>
            </w:r>
          </w:p>
        </w:tc>
      </w:tr>
      <w:tr>
        <w:trPr>
          <w:cantSplit/>
        </w:trPr>
        <w:tc>
          <w:tcPr>
            <w:tcW w:w="187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可破坏进攻</w:t>
            </w:r>
          </w:p>
        </w:tc>
        <w:tc>
          <w:tcPr>
            <w:tcW w:w="357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建筑结构件可被摧毁，支撑失效后倒塌；怪物模块耐久归零后失效。</w:t>
            </w:r>
          </w:p>
        </w:tc>
        <w:tc>
          <w:tcPr>
            <w:tcW w:w="419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只有整栋楼一个 HP 条。</w:t>
            </w:r>
          </w:p>
        </w:tc>
      </w:tr>
      <w:tr>
        <w:trPr>
          <w:cantSplit/>
        </w:trPr>
        <w:tc>
          <w:tcPr>
            <w:tcW w:w="187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重复验证</w:t>
            </w:r>
          </w:p>
        </w:tc>
        <w:tc>
          <w:tcPr>
            <w:tcW w:w="357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每次进攻都是对本轮养成结果的验证；旧区域随成长逐渐从威胁变成碾压区。</w:t>
            </w:r>
          </w:p>
        </w:tc>
        <w:tc>
          <w:tcPr>
            <w:tcW w:w="419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一次性最终考试。</w:t>
            </w:r>
          </w:p>
        </w:tc>
      </w:tr>
      <w:tr>
        <w:trPr>
          <w:cantSplit/>
        </w:trPr>
        <w:tc>
          <w:tcPr>
            <w:tcW w:w="187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保留成果</w:t>
            </w:r>
          </w:p>
        </w:tc>
        <w:tc>
          <w:tcPr>
            <w:tcW w:w="357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死灵之书可以记录优秀怪物，避免长时间培养成果因一次死亡永久消失。</w:t>
            </w:r>
          </w:p>
        </w:tc>
        <w:tc>
          <w:tcPr>
            <w:tcW w:w="419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完全不可逆的高惩罚清零。</w:t>
            </w:r>
          </w:p>
        </w:tc>
      </w:tr>
    </w:tbl>
    <w:p>
      <w:pPr>
        <w:pStyle w:val="Heading1"/>
      </w:pPr>
      <w:r>
        <w:t>3 世界观与美术基调</w:t>
      </w:r>
    </w:p>
    <w:p>
      <w:pPr>
        <w:numPr>
          <w:numId w:val="1"/>
        </w:numPr>
      </w:pPr>
      <w:r>
        <w:t>现代社畜 + 死灵之书 / 邪神术式 + 怪诞怪物养成。</w:t>
      </w:r>
    </w:p>
    <w:p>
      <w:pPr>
        <w:numPr>
          <w:numId w:val="2"/>
        </w:numPr>
      </w:pPr>
      <w:r>
        <w:t>美术基调：可爱、荒诞、略诡异；模块拼接可以明显不符合正常生物学。</w:t>
      </w:r>
    </w:p>
    <w:p>
      <w:pPr>
        <w:numPr>
          <w:numId w:val="3"/>
        </w:numPr>
      </w:pPr>
      <w:r>
        <w:t>培养空间可以解释为死灵之书内部的亚空间 / 生态箱，因此洪水、地震、雷电、燃烧等异常环境可以合理发生。</w:t>
      </w:r>
    </w:p>
    <w:p>
      <w:pPr>
        <w:numPr>
          <w:numId w:val="4"/>
        </w:numPr>
      </w:pPr>
      <w:r>
        <w:t>进攻空间回到“现实世界”或其夸张化版本，从乡村、小镇、城市一路推进到公司 / 母公司。</w:t>
      </w:r>
    </w:p>
    <w:p>
      <w:pPr>
        <w:pStyle w:val="Heading1"/>
      </w:pPr>
      <w:r>
        <w:t>4 核心循环逻辑图</w:t>
      </w:r>
    </w:p>
    <w:p>
      <w:pPr/>
      <w:r>
        <w:t>死灵之书：选择咒语 / 环境事件 → 培养空间发生洪水、地震、雷电、燃烧等环境变化 → 种群受到影响：参数变化 + 概率变异 + 模块变化 → 观察、筛选怪物；优秀个体可记录进死灵之书 → 选择一只怪物进行横版进攻 → 乡村 → 城镇 → 城市 → 公司：建筑与防御火力逐级增强 → 怪物模块被摧毁 / 怪物死亡 / 或成功推进到更远区域 → 回到培养；召唤已记录怪物或继续培养新的变异路线</w:t>
      </w:r>
    </w:p>
    <w:p>
      <w:pPr>
        <w:pStyle w:val="Heading1"/>
        <w:keepNext/>
      </w:pPr>
      <w:r>
        <w:t>5 双阶段结构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2551"/>
        <w:gridCol w:w="2551"/>
        <w:gridCol w:w="2835"/>
      </w:tblGrid>
      <w:tr>
        <w:trPr>
          <w:cantSplit/>
          <w:tblHeader/>
        </w:trPr>
        <w:tc>
          <w:tcPr>
            <w:tcW w:w="1701" w:type="dxa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  <w:ind w:left="0"/>
              <w:jc w:val="center"/>
            </w:pPr>
            <w:r>
              <w:rPr>
                <w:rFonts w:eastAsia="等线" w:ascii="Arial" w:cs="Arial" w:hAnsi="Arial"/>
                <w:b/>
                <w:color w:val="000000"/>
                <w:sz w:val="19"/>
              </w:rPr>
              <w:t>阶段</w:t>
            </w:r>
          </w:p>
        </w:tc>
        <w:tc>
          <w:tcPr>
            <w:tcW w:w="2551" w:type="dxa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  <w:ind w:left="0"/>
              <w:jc w:val="center"/>
            </w:pPr>
            <w:r>
              <w:rPr>
                <w:rFonts w:eastAsia="等线" w:ascii="Arial" w:cs="Arial" w:hAnsi="Arial"/>
                <w:b/>
                <w:color w:val="000000"/>
                <w:sz w:val="19"/>
              </w:rPr>
              <w:t>视角</w:t>
            </w:r>
          </w:p>
        </w:tc>
        <w:tc>
          <w:tcPr>
            <w:tcW w:w="2551" w:type="dxa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  <w:ind w:left="0"/>
              <w:jc w:val="center"/>
            </w:pPr>
            <w:r>
              <w:rPr>
                <w:rFonts w:eastAsia="等线" w:ascii="Arial" w:cs="Arial" w:hAnsi="Arial"/>
                <w:b/>
                <w:color w:val="000000"/>
                <w:sz w:val="19"/>
              </w:rPr>
              <w:t>玩家主要操作</w:t>
            </w:r>
          </w:p>
        </w:tc>
        <w:tc>
          <w:tcPr>
            <w:tcW w:w="2835" w:type="dxa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  <w:ind w:left="0"/>
              <w:jc w:val="center"/>
            </w:pPr>
            <w:r>
              <w:rPr>
                <w:rFonts w:eastAsia="等线" w:ascii="Arial" w:cs="Arial" w:hAnsi="Arial"/>
                <w:b/>
                <w:color w:val="000000"/>
                <w:sz w:val="19"/>
              </w:rPr>
              <w:t>主要反馈</w:t>
            </w:r>
          </w:p>
        </w:tc>
      </w:tr>
      <w:tr>
        <w:trPr>
          <w:cantSplit/>
        </w:trPr>
        <w:tc>
          <w:tcPr>
            <w:tcW w:w="170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养成阶段</w:t>
            </w:r>
          </w:p>
        </w:tc>
        <w:tc>
          <w:tcPr>
            <w:tcW w:w="255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俯视角；生物继续复用横版美术资产</w:t>
            </w:r>
          </w:p>
        </w:tc>
        <w:tc>
          <w:tcPr>
            <w:tcW w:w="255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施放死灵法术、观察群体变异、筛选与记录怪物</w:t>
            </w:r>
          </w:p>
        </w:tc>
        <w:tc>
          <w:tcPr>
            <w:tcW w:w="283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环境明显变化、种群分化、模块形态变化</w:t>
            </w:r>
          </w:p>
        </w:tc>
      </w:tr>
      <w:tr>
        <w:trPr>
          <w:cantSplit/>
        </w:trPr>
        <w:tc>
          <w:tcPr>
            <w:tcW w:w="170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进攻阶段</w:t>
            </w:r>
          </w:p>
        </w:tc>
        <w:tc>
          <w:tcPr>
            <w:tcW w:w="255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横版</w:t>
            </w:r>
          </w:p>
        </w:tc>
        <w:tc>
          <w:tcPr>
            <w:tcW w:w="255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原则上不做即时动作操作；选择怪物并观看其自动推进</w:t>
            </w:r>
          </w:p>
        </w:tc>
        <w:tc>
          <w:tcPr>
            <w:tcW w:w="283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建筑倒塌、人类火力、模块摧毁、心脏风险与推进距离</w:t>
            </w:r>
          </w:p>
        </w:tc>
      </w:tr>
    </w:tbl>
    <w:p>
      <w:pPr>
        <w:pStyle w:val="Heading1"/>
      </w:pPr>
      <w:r>
        <w:t>6 四份策划案的边界</w:t>
      </w:r>
    </w:p>
    <w:p>
      <w:pPr>
        <w:keepNext/>
      </w:pPr>
      <w:bookmarkStart w:name="heading_6" w:id="6"/>
      <w:r>
        <w:t>系统分工关系图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572"/>
        <w:gridCol w:w="4195"/>
      </w:tblGrid>
      <w:tr>
        <w:trPr>
          <w:cantSplit/>
          <w:tblHeader/>
        </w:trPr>
        <w:tc>
          <w:tcPr>
            <w:tcW w:w="1871" w:type="dxa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  <w:ind w:left="0"/>
              <w:jc w:val="center"/>
            </w:pPr>
            <w:r>
              <w:rPr>
                <w:rFonts w:eastAsia="等线" w:ascii="Arial" w:cs="Arial" w:hAnsi="Arial"/>
                <w:b/>
                <w:color w:val="000000"/>
                <w:sz w:val="19"/>
              </w:rPr>
              <w:t>来源</w:t>
            </w:r>
          </w:p>
        </w:tc>
        <w:tc>
          <w:tcPr>
            <w:tcW w:w="3572" w:type="dxa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  <w:ind w:left="0"/>
              <w:jc w:val="center"/>
            </w:pPr>
            <w:r>
              <w:rPr>
                <w:rFonts w:eastAsia="等线" w:ascii="Arial" w:cs="Arial" w:hAnsi="Arial"/>
                <w:b/>
                <w:color w:val="000000"/>
                <w:sz w:val="19"/>
              </w:rPr>
              <w:t>传递内容</w:t>
            </w:r>
          </w:p>
        </w:tc>
        <w:tc>
          <w:tcPr>
            <w:tcW w:w="4195" w:type="dxa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  <w:ind w:left="0"/>
              <w:jc w:val="center"/>
            </w:pPr>
            <w:r>
              <w:rPr>
                <w:rFonts w:eastAsia="等线" w:ascii="Arial" w:cs="Arial" w:hAnsi="Arial"/>
                <w:b/>
                <w:color w:val="000000"/>
                <w:sz w:val="19"/>
              </w:rPr>
              <w:t>去向</w:t>
            </w:r>
          </w:p>
        </w:tc>
      </w:tr>
      <w:tr>
        <w:trPr>
          <w:cantSplit/>
        </w:trPr>
        <w:tc>
          <w:tcPr>
            <w:tcW w:w="187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主策划案</w:t>
            </w:r>
          </w:p>
        </w:tc>
        <w:tc>
          <w:tcPr>
            <w:tcW w:w="357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世界观、核心循环、系统边界、阶段关系、共同术语</w:t>
            </w:r>
          </w:p>
        </w:tc>
        <w:tc>
          <w:tcPr>
            <w:tcW w:w="419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所有子系统</w:t>
            </w:r>
          </w:p>
        </w:tc>
      </w:tr>
      <w:tr>
        <w:trPr>
          <w:cantSplit/>
        </w:trPr>
        <w:tc>
          <w:tcPr>
            <w:tcW w:w="187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养成系统</w:t>
            </w:r>
          </w:p>
        </w:tc>
        <w:tc>
          <w:tcPr>
            <w:tcW w:w="357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咒语事件、环境变化、种群随机变异、怪物记录与召唤</w:t>
            </w:r>
          </w:p>
        </w:tc>
        <w:tc>
          <w:tcPr>
            <w:tcW w:w="419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怪物模块系统 / 进攻系统</w:t>
            </w:r>
          </w:p>
        </w:tc>
      </w:tr>
      <w:tr>
        <w:trPr>
          <w:cantSplit/>
        </w:trPr>
        <w:tc>
          <w:tcPr>
            <w:tcW w:w="187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怪物模块系统</w:t>
            </w:r>
          </w:p>
        </w:tc>
        <w:tc>
          <w:tcPr>
            <w:tcW w:w="357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按格结构、永久连接、心脏、摆动运动、接触伤害、喷火头和模块失效</w:t>
            </w:r>
          </w:p>
        </w:tc>
        <w:tc>
          <w:tcPr>
            <w:tcW w:w="419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养成系统 / 进攻系统</w:t>
            </w:r>
          </w:p>
        </w:tc>
      </w:tr>
      <w:tr>
        <w:trPr>
          <w:cantSplit/>
        </w:trPr>
        <w:tc>
          <w:tcPr>
            <w:tcW w:w="187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进攻关卡系统</w:t>
            </w:r>
          </w:p>
        </w:tc>
        <w:tc>
          <w:tcPr>
            <w:tcW w:w="357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固定横版地图、可破坏建筑、初始防御配置、区域梯度和胜负规则</w:t>
            </w:r>
          </w:p>
        </w:tc>
        <w:tc>
          <w:tcPr>
            <w:tcW w:w="419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主循环反馈到养成系统</w:t>
            </w:r>
          </w:p>
        </w:tc>
      </w:tr>
    </w:tbl>
    <w:p>
      <w:pPr>
        <w:pStyle w:val="Heading1"/>
      </w:pPr>
      <w:r>
        <w:t>7 养成系统概述</w:t>
      </w:r>
    </w:p>
    <w:p>
      <w:pPr>
        <w:numPr>
          <w:numId w:val="5"/>
        </w:numPr>
      </w:pPr>
      <w:r>
        <w:t>玩家用死灵法术制造环境，而不是直接选择变异结果。</w:t>
      </w:r>
    </w:p>
    <w:p>
      <w:pPr>
        <w:numPr>
          <w:numId w:val="6"/>
        </w:numPr>
      </w:pPr>
      <w:r>
        <w:t>核心事件方向：洪水、地震、雷电、燃烧；后续可扩展其他灾害或邪术。</w:t>
      </w:r>
    </w:p>
    <w:p>
      <w:pPr>
        <w:numPr>
          <w:numId w:val="7"/>
        </w:numPr>
      </w:pPr>
      <w:r>
        <w:t>同一事件对同一基础怪物也允许产生不同变异结果；事件主要改变“概率与倾向”。</w:t>
      </w:r>
    </w:p>
    <w:p>
      <w:pPr>
        <w:numPr>
          <w:numId w:val="8"/>
        </w:numPr>
      </w:pPr>
      <w:r>
        <w:t>变异包括参数变异（腿更长、步频更快、身体更重等）和结构变异（增加身体、增加肢体、获得翅膀等）。</w:t>
      </w:r>
    </w:p>
    <w:p>
      <w:pPr>
        <w:numPr>
          <w:numId w:val="9"/>
        </w:numPr>
      </w:pPr>
      <w:r>
        <w:t>死灵之书可以记录一只怪物的完整结构与参数；记录后即使出战个体死亡，也能再次召唤该记录。</w:t>
        <w:br/>
      </w:r>
    </w:p>
    <w:p>
      <w:pPr>
        <w:pStyle w:val="Heading1"/>
      </w:pPr>
      <w:r>
        <w:t>8 怪物模块系统概述</w:t>
      </w:r>
    </w:p>
    <w:p>
      <w:pPr>
        <w:numPr>
          <w:numId w:val="10"/>
        </w:numPr>
      </w:pPr>
      <w:r>
        <w:t>怪物按整数格生成和连接。每个模块型号分别定义占格与实际碰撞形状；战斗中结构连续运动，不锁在格线上。</w:t>
      </w:r>
    </w:p>
    <w:p>
      <w:pPr>
        <w:numPr>
          <w:numId w:val="11"/>
        </w:numPr>
      </w:pPr>
      <w:r>
        <w:t>一只怪物只有一个1×1格心脏，嵌入身体预留格并由身体保护。身体、头、肢体、尾巴、翅膀、角、爪、蹄可以有不同型号；同一型号可生成多个实例。</w:t>
      </w:r>
    </w:p>
    <w:p>
      <w:pPr>
        <w:numPr>
          <w:numId w:val="12"/>
        </w:numPr>
      </w:pPr>
      <w:r>
        <w:t>连接处占一格，直接连接后不会因受力或扭矩损坏。摆动肢体由一格齿轮关节和杆组成，齿轮空闲接口及杆末端可继续连接，杆中途不允许接下一段。</w:t>
      </w:r>
    </w:p>
    <w:p>
      <w:pPr>
        <w:numPr>
          <w:numId w:val="13"/>
        </w:numPr>
      </w:pPr>
      <w:r>
        <w:t>模块具有独立生命值、质量、占格和碰撞形状。摆动模块单独配置目标频率、振幅、初始相位、安装方向与最大扭矩；实际步频由触地结果产生。</w:t>
      </w:r>
    </w:p>
    <w:p>
      <w:pPr/>
      <w:r>
        <w:t>标准体型按宽×高计：身体5×3格、两条腿各1×3格、头2×2格、横向尾巴2×1格。心脏占身体内部预留格，不额外增加身体外尺寸；独立蹄子另加一格。</w:t>
      </w:r>
    </w:p>
    <w:p>
      <w:pPr/>
      <w:r>
        <w:t>当前《怪物组件配置表_V0.2.xlsx》有30个型号：心脏、身体、摆动肢体、尾巴、翅膀、角、爪、蹄各3个，头6个（普通头3个、喷火头3个）。数值为可修改初值，不代表已验证平衡。</w:t>
      </w:r>
    </w:p>
    <w:p>
      <w:pPr>
        <w:numPr>
          <w:numId w:val="14"/>
        </w:numPr>
      </w:pPr>
      <w:r>
        <w:t>怪物被攻击时摧毁的是怪物模块；人类单位不采用这套肢体摧毁逻辑。</w:t>
      </w:r>
    </w:p>
    <w:p>
      <w:pPr>
        <w:pStyle w:val="Heading1"/>
      </w:pPr>
      <w:r>
        <w:t>9 进攻关卡系统概述</w:t>
      </w:r>
    </w:p>
    <w:p>
      <w:pPr>
        <w:numPr>
          <w:numId w:val="15"/>
        </w:numPr>
      </w:pPr>
      <w:r>
        <w:t>横版连续推进，从乡村小屋、道路与低强度人类防御，逐渐升级到乡镇围挡，机枪，城市高楼、枪械、坦克、直升机和重型火力。</w:t>
      </w:r>
    </w:p>
    <w:p>
      <w:pPr>
        <w:numPr>
          <w:numId w:val="16"/>
        </w:numPr>
      </w:pPr>
      <w:r>
        <w:t>建筑以《高楼爆破》的逐段坍塌效果为主要参考，结合《愤怒的小鸟》的材料与支撑关系。第一版采用少量墙柱、梁、楼板构成的二维物理结构，耐久归零后失去支撑，剩余结构件掉落碰撞。</w:t>
      </w:r>
    </w:p>
    <w:p>
      <w:pPr>
        <w:numPr>
          <w:numId w:val="17"/>
        </w:numPr>
      </w:pPr>
      <w:r>
        <w:t>踩踏、冲撞、角、爪、蹄的伤害由接触有效质量与法向接近速度计算。喷火固定在喷火头上，使用独立持续伤害参数；喷火头被摧毁就停止喷火。</w:t>
      </w:r>
    </w:p>
    <w:p>
      <w:pPr>
        <w:numPr>
          <w:numId w:val="18"/>
        </w:numPr>
      </w:pPr>
      <w:r>
        <w:t>每次进攻原则上从起点重新开始；随着养成变强，前期区域会被更快、更轻松地碾过，形成成长反馈。</w:t>
      </w:r>
    </w:p>
    <w:p>
      <w:pPr/>
      <w:r>
        <w:t>第一版参考视野为63×27格，地图和人类防御位置完全固定，战斗中不会增援。怪物的目标是摧毁房屋，不需要进入房间，也不以室内净空设计通路。</w:t>
      </w:r>
    </w:p>
    <w:p>
      <w:pPr/>
      <w:r>
        <w:t>失败条件为心脏被毁，或连续4秒净前进不足0.4格且未对真正阻路的目标造成耐久下降。停步拆墙有实际进展时，允许继续战斗。</w:t>
      </w:r>
    </w:p>
    <w:p>
      <w:pPr>
        <w:pStyle w:val="Heading1"/>
      </w:pPr>
      <w:r>
        <w:t>10 死灵之书成果保留机制</w:t>
      </w:r>
    </w:p>
    <w:p>
      <w:pPr/>
      <w:bookmarkStart w:name="heading_11" w:id="11"/>
      <w:r>
        <w:t>记录与召唤逻辑图</w:t>
      </w:r>
      <w:bookmarkEnd w:id="11"/>
    </w:p>
    <w:p>
      <w:pPr/>
      <w:r>
        <w:t>玩家选中当前培养区中的一只怪物 → 检查结构与属性，确认“记录到死灵之书” → 保存该怪物的模块拓扑 + 模块参数 + 外观组合 → 该怪物成为一个长期保留的“召唤记录” → 记录本体不因出战死亡而消失 → 玩家后续可从死灵之书直接召唤新的同型个体</w:t>
      </w:r>
    </w:p>
    <w:p>
      <w:pPr/>
      <w:r>
        <w:t>记录槽数量暂定为30、无记录/召唤成本、允许无限复制、记录后的怪物能继续作为新变异的母体</w:t>
      </w:r>
    </w:p>
    <w:p>
      <w:pPr>
        <w:pStyle w:val="Heading1"/>
      </w:pPr>
      <w:r>
        <w:t>11 信息展示原则</w:t>
      </w:r>
    </w:p>
    <w:p>
      <w:pPr>
        <w:numPr>
          <w:numId w:val="19"/>
        </w:numPr>
      </w:pPr>
      <w:r>
        <w:t>不给怪物一个单一“总战力”。玩家需要理解模块结构，而不是追一个总分。</w:t>
      </w:r>
    </w:p>
    <w:p>
      <w:pPr>
        <w:numPr>
          <w:numId w:val="20"/>
        </w:numPr>
      </w:pPr>
      <w:r>
        <w:t>怪物详情采用“整体信息 + 点击模块查看局部信息”的两层结构。</w:t>
      </w:r>
    </w:p>
    <w:p>
      <w:pPr>
        <w:numPr>
          <w:numId w:val="21"/>
        </w:numPr>
      </w:pPr>
      <w:r>
        <w:t>整体层优先展示：总质量、存活模块数、当前记录状态、历史最远推进距离等可解释信息。</w:t>
      </w:r>
    </w:p>
    <w:p>
      <w:pPr>
        <w:numPr>
          <w:numId w:val="22"/>
        </w:numPr>
      </w:pPr>
      <w:r>
        <w:t>模块层优先展示生命状态、质量、尺寸与功能；运动模块以摆动快慢、范围和支撑能力帮助理解。精确扭矩、摩擦、升力系数等保留在策划配置中。</w:t>
      </w:r>
    </w:p>
    <w:p>
      <w:pPr>
        <w:numPr>
          <w:numId w:val="23"/>
        </w:numPr>
      </w:pPr>
      <w:r>
        <w:t>进攻阶段展示模块受损、被毁、脱落、心脏状态与推进进度；不以大量物理数值覆盖战斗画面。</w:t>
      </w:r>
    </w:p>
    <w:p>
      <w:pPr>
        <w:pStyle w:val="Heading1"/>
        <w:keepNext/>
      </w:pPr>
      <w:r>
        <w:t>12 参考作品与借鉴边界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572"/>
        <w:gridCol w:w="4195"/>
      </w:tblGrid>
      <w:tr>
        <w:trPr>
          <w:cantSplit/>
          <w:tblHeader/>
        </w:trPr>
        <w:tc>
          <w:tcPr>
            <w:tcW w:w="1871" w:type="dxa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  <w:ind w:left="0"/>
              <w:jc w:val="center"/>
            </w:pPr>
            <w:r>
              <w:rPr>
                <w:rFonts w:eastAsia="等线" w:ascii="Arial" w:cs="Arial" w:hAnsi="Arial"/>
                <w:b/>
                <w:color w:val="000000"/>
                <w:sz w:val="19"/>
              </w:rPr>
              <w:t>参考</w:t>
            </w:r>
          </w:p>
        </w:tc>
        <w:tc>
          <w:tcPr>
            <w:tcW w:w="3572" w:type="dxa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  <w:ind w:left="0"/>
              <w:jc w:val="center"/>
            </w:pPr>
            <w:r>
              <w:rPr>
                <w:rFonts w:eastAsia="等线" w:ascii="Arial" w:cs="Arial" w:hAnsi="Arial"/>
                <w:b/>
                <w:color w:val="000000"/>
                <w:sz w:val="19"/>
              </w:rPr>
              <w:t>主要借鉴</w:t>
            </w:r>
          </w:p>
        </w:tc>
        <w:tc>
          <w:tcPr>
            <w:tcW w:w="4195" w:type="dxa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  <w:ind w:left="0"/>
              <w:jc w:val="center"/>
            </w:pPr>
            <w:r>
              <w:rPr>
                <w:rFonts w:eastAsia="等线" w:ascii="Arial" w:cs="Arial" w:hAnsi="Arial"/>
                <w:b/>
                <w:color w:val="000000"/>
                <w:sz w:val="19"/>
              </w:rPr>
              <w:t>不直接照搬</w:t>
            </w:r>
          </w:p>
        </w:tc>
      </w:tr>
      <w:tr>
        <w:trPr>
          <w:cantSplit/>
        </w:trPr>
        <w:tc>
          <w:tcPr>
            <w:tcW w:w="187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《围攻》</w:t>
            </w:r>
          </w:p>
        </w:tc>
        <w:tc>
          <w:tcPr>
            <w:tcW w:w="357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模块连接、结构组合与物理结果</w:t>
            </w:r>
          </w:p>
        </w:tc>
        <w:tc>
          <w:tcPr>
            <w:tcW w:w="419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玩家手动编辑器式拼装作为核心操作</w:t>
            </w:r>
          </w:p>
        </w:tc>
      </w:tr>
      <w:tr>
        <w:trPr>
          <w:cantSplit/>
        </w:trPr>
        <w:tc>
          <w:tcPr>
            <w:tcW w:w="187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《喵星大作战》</w:t>
            </w:r>
          </w:p>
        </w:tc>
        <w:tc>
          <w:tcPr>
            <w:tcW w:w="357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模块差异带来可观察的物理/战斗结果</w:t>
            </w:r>
          </w:p>
        </w:tc>
        <w:tc>
          <w:tcPr>
            <w:tcW w:w="419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固定装备槽与纯装备成长</w:t>
            </w:r>
          </w:p>
        </w:tc>
      </w:tr>
      <w:tr>
        <w:trPr>
          <w:cantSplit/>
        </w:trPr>
        <w:tc>
          <w:tcPr>
            <w:tcW w:w="187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《愤怒的小鸟》</w:t>
            </w:r>
          </w:p>
        </w:tc>
        <w:tc>
          <w:tcPr>
            <w:tcW w:w="357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关卡设计的建筑材料、支撑关系、倒塌与碎片反馈</w:t>
            </w:r>
          </w:p>
        </w:tc>
        <w:tc>
          <w:tcPr>
            <w:tcW w:w="419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弹弓操作</w:t>
            </w:r>
          </w:p>
        </w:tc>
      </w:tr>
      <w:tr>
        <w:trPr>
          <w:cantSplit/>
        </w:trPr>
        <w:tc>
          <w:tcPr>
            <w:tcW w:w="187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《高楼爆破》</w:t>
            </w:r>
          </w:p>
        </w:tc>
        <w:tc>
          <w:tcPr>
            <w:tcW w:w="357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关卡设计的高层建筑逐段破坏、结构失稳、爆破式连锁效果</w:t>
            </w:r>
          </w:p>
        </w:tc>
        <w:tc>
          <w:tcPr>
            <w:tcW w:w="419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具体关卡操作</w:t>
            </w:r>
          </w:p>
        </w:tc>
      </w:tr>
    </w:tbl>
    <w:p>
      <w:pPr>
        <w:pStyle w:val="Heading1"/>
        <w:keepNext/>
      </w:pPr>
      <w:r>
        <w:t>13 已确认规则与待定内容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200"/>
      </w:tblGrid>
      <w:tr>
        <w:trPr>
          <w:cantSplit/>
          <w:tblHeader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事项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当前状态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战斗失败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心脏耐久归零立即失败；连续4秒净前进不足0.4格，且未实际降低阻路目标耐久，也判失败。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停步拆障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只要仍在实际降低阻路目标耐久就继续；空摆、空打与攻击无关目标不能延续战斗。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参考视野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21∶9横屏参考视野63×27格；不是整张地图的总尺寸。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安装与连接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0°向下、90°向右、180°向上、270°向左；运动连续摆动，连接不受力断裂。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关卡与防御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第一版完全固定关卡；所有人类与防御单位开局预置，不增援。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建筑尺寸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关卡子案给出建议初值，尚待确认；怪物只摧毁建筑，不进入房屋。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出战数量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当前默认单怪，群怪进攻仍为扩展方向。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材料与地图长度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材料耐久、总区域数量、地图长度与进攻时长待调参确认。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完整经济与局外成长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待定</w:t>
            </w:r>
          </w:p>
        </w:tc>
      </w:tr>
    </w:tbl>
    <w:sectPr>
      <w:footerReference w:type="default" r:id="rId3"/>
      <w:headerReference w:type="default" r:id="rId8"/>
      <w:pgSz w:orient="portrait" w:h="16838" w:w="11906"/>
      <w:pgMar w:top="1077" w:bottom="1077" w:left="1134" w:right="1134" w:header="454" w:footer="454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19189">
    <w:lvl>
      <w:numFmt w:val="bullet"/>
      <w:suff w:val="tab"/>
      <w:lvlText w:val="•"/>
      <w:rPr>
        <w:color w:val="000000"/>
      </w:rPr>
    </w:lvl>
  </w:abstractNum>
  <w:abstractNum w:abstractNumId="719190">
    <w:lvl>
      <w:numFmt w:val="bullet"/>
      <w:suff w:val="tab"/>
      <w:lvlText w:val="•"/>
      <w:rPr>
        <w:color w:val="000000"/>
      </w:rPr>
    </w:lvl>
  </w:abstractNum>
  <w:abstractNum w:abstractNumId="719191">
    <w:lvl>
      <w:numFmt w:val="bullet"/>
      <w:suff w:val="tab"/>
      <w:lvlText w:val="•"/>
      <w:rPr>
        <w:color w:val="000000"/>
      </w:rPr>
    </w:lvl>
  </w:abstractNum>
  <w:abstractNum w:abstractNumId="719192">
    <w:lvl>
      <w:numFmt w:val="bullet"/>
      <w:suff w:val="tab"/>
      <w:lvlText w:val="•"/>
      <w:rPr>
        <w:color w:val="000000"/>
      </w:rPr>
    </w:lvl>
  </w:abstractNum>
  <w:abstractNum w:abstractNumId="719193">
    <w:lvl>
      <w:numFmt w:val="bullet"/>
      <w:suff w:val="tab"/>
      <w:lvlText w:val="•"/>
      <w:rPr>
        <w:color w:val="000000"/>
      </w:rPr>
    </w:lvl>
  </w:abstractNum>
  <w:abstractNum w:abstractNumId="719194">
    <w:lvl>
      <w:numFmt w:val="bullet"/>
      <w:suff w:val="tab"/>
      <w:lvlText w:val="•"/>
      <w:rPr>
        <w:color w:val="000000"/>
      </w:rPr>
    </w:lvl>
  </w:abstractNum>
  <w:abstractNum w:abstractNumId="719195">
    <w:lvl>
      <w:numFmt w:val="bullet"/>
      <w:suff w:val="tab"/>
      <w:lvlText w:val="•"/>
      <w:rPr>
        <w:color w:val="000000"/>
      </w:rPr>
    </w:lvl>
  </w:abstractNum>
  <w:abstractNum w:abstractNumId="719196">
    <w:lvl>
      <w:numFmt w:val="bullet"/>
      <w:suff w:val="tab"/>
      <w:lvlText w:val="•"/>
      <w:rPr>
        <w:color w:val="000000"/>
      </w:rPr>
    </w:lvl>
  </w:abstractNum>
  <w:abstractNum w:abstractNumId="719197">
    <w:lvl>
      <w:numFmt w:val="bullet"/>
      <w:suff w:val="tab"/>
      <w:lvlText w:val="•"/>
      <w:rPr>
        <w:color w:val="000000"/>
      </w:rPr>
    </w:lvl>
  </w:abstractNum>
  <w:abstractNum w:abstractNumId="719198">
    <w:lvl>
      <w:numFmt w:val="bullet"/>
      <w:suff w:val="tab"/>
      <w:lvlText w:val="•"/>
      <w:rPr>
        <w:color w:val="000000"/>
      </w:rPr>
    </w:lvl>
  </w:abstractNum>
  <w:abstractNum w:abstractNumId="719199">
    <w:lvl>
      <w:numFmt w:val="bullet"/>
      <w:suff w:val="tab"/>
      <w:lvlText w:val="•"/>
      <w:rPr>
        <w:color w:val="000000"/>
      </w:rPr>
    </w:lvl>
  </w:abstractNum>
  <w:abstractNum w:abstractNumId="719200">
    <w:lvl>
      <w:numFmt w:val="bullet"/>
      <w:suff w:val="tab"/>
      <w:lvlText w:val="•"/>
      <w:rPr>
        <w:color w:val="000000"/>
      </w:rPr>
    </w:lvl>
  </w:abstractNum>
  <w:abstractNum w:abstractNumId="719201">
    <w:lvl>
      <w:numFmt w:val="bullet"/>
      <w:suff w:val="tab"/>
      <w:lvlText w:val="•"/>
      <w:rPr>
        <w:color w:val="000000"/>
      </w:rPr>
    </w:lvl>
  </w:abstractNum>
  <w:abstractNum w:abstractNumId="719202">
    <w:lvl>
      <w:numFmt w:val="bullet"/>
      <w:suff w:val="tab"/>
      <w:lvlText w:val="•"/>
      <w:rPr>
        <w:color w:val="000000"/>
      </w:rPr>
    </w:lvl>
  </w:abstractNum>
  <w:abstractNum w:abstractNumId="719203">
    <w:lvl>
      <w:numFmt w:val="bullet"/>
      <w:suff w:val="tab"/>
      <w:lvlText w:val="•"/>
      <w:rPr>
        <w:color w:val="000000"/>
      </w:rPr>
    </w:lvl>
  </w:abstractNum>
  <w:abstractNum w:abstractNumId="719204">
    <w:lvl>
      <w:numFmt w:val="bullet"/>
      <w:suff w:val="tab"/>
      <w:lvlText w:val="•"/>
      <w:rPr>
        <w:color w:val="000000"/>
      </w:rPr>
    </w:lvl>
  </w:abstractNum>
  <w:abstractNum w:abstractNumId="719205">
    <w:lvl>
      <w:numFmt w:val="bullet"/>
      <w:suff w:val="tab"/>
      <w:lvlText w:val="•"/>
      <w:rPr>
        <w:color w:val="000000"/>
      </w:rPr>
    </w:lvl>
  </w:abstractNum>
  <w:abstractNum w:abstractNumId="719206">
    <w:lvl>
      <w:numFmt w:val="bullet"/>
      <w:suff w:val="tab"/>
      <w:lvlText w:val="•"/>
      <w:rPr>
        <w:color w:val="000000"/>
      </w:rPr>
    </w:lvl>
  </w:abstractNum>
  <w:abstractNum w:abstractNumId="719207">
    <w:lvl>
      <w:numFmt w:val="bullet"/>
      <w:suff w:val="tab"/>
      <w:lvlText w:val="•"/>
      <w:rPr>
        <w:color w:val="000000"/>
      </w:rPr>
    </w:lvl>
  </w:abstractNum>
  <w:abstractNum w:abstractNumId="719208">
    <w:lvl>
      <w:numFmt w:val="bullet"/>
      <w:suff w:val="tab"/>
      <w:lvlText w:val="•"/>
      <w:rPr>
        <w:color w:val="000000"/>
      </w:rPr>
    </w:lvl>
  </w:abstractNum>
  <w:abstractNum w:abstractNumId="719209">
    <w:lvl>
      <w:numFmt w:val="bullet"/>
      <w:suff w:val="tab"/>
      <w:lvlText w:val="•"/>
      <w:rPr>
        <w:color w:val="000000"/>
      </w:rPr>
    </w:lvl>
  </w:abstractNum>
  <w:abstractNum w:abstractNumId="719210">
    <w:lvl>
      <w:numFmt w:val="bullet"/>
      <w:suff w:val="tab"/>
      <w:lvlText w:val="•"/>
      <w:rPr>
        <w:color w:val="000000"/>
      </w:rPr>
    </w:lvl>
  </w:abstractNum>
  <w:abstractNum w:abstractNumId="719211">
    <w:lvl>
      <w:numFmt w:val="bullet"/>
      <w:suff w:val="tab"/>
      <w:lvlText w:val="•"/>
      <w:rPr>
        <w:color w:val="000000"/>
      </w:rPr>
    </w:lvl>
  </w:abstractNum>
  <w:num w:numId="1">
    <w:abstractNumId w:val="719189"/>
  </w:num>
  <w:num w:numId="2">
    <w:abstractNumId w:val="719190"/>
  </w:num>
  <w:num w:numId="3">
    <w:abstractNumId w:val="719191"/>
  </w:num>
  <w:num w:numId="4">
    <w:abstractNumId w:val="719192"/>
  </w:num>
  <w:num w:numId="5">
    <w:abstractNumId w:val="719193"/>
  </w:num>
  <w:num w:numId="6">
    <w:abstractNumId w:val="719194"/>
  </w:num>
  <w:num w:numId="7">
    <w:abstractNumId w:val="719195"/>
  </w:num>
  <w:num w:numId="8">
    <w:abstractNumId w:val="719196"/>
  </w:num>
  <w:num w:numId="9">
    <w:abstractNumId w:val="719197"/>
  </w:num>
  <w:num w:numId="10">
    <w:abstractNumId w:val="719198"/>
  </w:num>
  <w:num w:numId="11">
    <w:abstractNumId w:val="719199"/>
  </w:num>
  <w:num w:numId="12">
    <w:abstractNumId w:val="719200"/>
  </w:num>
  <w:num w:numId="13">
    <w:abstractNumId w:val="719201"/>
  </w:num>
  <w:num w:numId="14">
    <w:abstractNumId w:val="719202"/>
  </w:num>
  <w:num w:numId="15">
    <w:abstractNumId w:val="719203"/>
  </w:num>
  <w:num w:numId="16">
    <w:abstractNumId w:val="719204"/>
  </w:num>
  <w:num w:numId="17">
    <w:abstractNumId w:val="719205"/>
  </w:num>
  <w:num w:numId="18">
    <w:abstractNumId w:val="719206"/>
  </w:num>
  <w:num w:numId="19">
    <w:abstractNumId w:val="719207"/>
  </w:num>
  <w:num w:numId="20">
    <w:abstractNumId w:val="719208"/>
  </w:num>
  <w:num w:numId="21">
    <w:abstractNumId w:val="719209"/>
  </w:num>
  <w:num w:numId="22">
    <w:abstractNumId w:val="719210"/>
  </w:num>
  <w:num w:numId="23">
    <w:abstractNumId w:val="7192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default="1" w:styleId="Normal">
    <w:name w:val="Normal"/>
    <w:qFormat/>
    <w:rsid w:val="00FC693F"/>
    <w:pPr>
      <w:keepNext w:val="0"/>
      <w:widowControl/>
      <w:spacing w:before="0" w:after="100" w:line="269" w:lineRule="auto"/>
    </w:pPr>
    <w:rPr>
      <w:rFonts w:ascii="Arial" w:hAnsi="Arial" w:eastAsia="等线"/>
      <w:b w:val="0"/>
      <w:i w:val="0"/>
      <w:color w:val="000000"/>
      <w:sz w:val="2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69" w:lineRule="auto" w:before="0"/>
      <w:contextualSpacing/>
    </w:pPr>
    <w:rPr>
      <w:rFonts w:ascii="Arial" w:hAnsi="Arial" w:eastAsia="等线"/>
      <w:b/>
      <w:i w:val="0"/>
      <w:color w:val="000000"/>
      <w:spacing w:val="5"/>
      <w:kern w:val="28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100" w:line="269" w:lineRule="auto"/>
    </w:pPr>
    <w:rPr>
      <w:rFonts w:ascii="Arial" w:hAnsi="Arial" w:eastAsia="等线"/>
      <w:b w:val="0"/>
      <w:i w:val="0"/>
      <w:iCs/>
      <w:color w:val="000000"/>
      <w:spacing w:val="15"/>
      <w:sz w:val="22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00" w:line="269" w:lineRule="auto"/>
      <w:outlineLvl w:val="0"/>
    </w:pPr>
    <w:rPr>
      <w:rFonts w:ascii="Arial" w:hAnsi="Arial" w:eastAsia="等线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100" w:line="269" w:lineRule="auto"/>
      <w:outlineLvl w:val="1"/>
    </w:pPr>
    <w:rPr>
      <w:rFonts w:ascii="Arial" w:hAnsi="Arial" w:eastAsia="等线"/>
      <w:b/>
      <w:bCs/>
      <w:i w:val="0"/>
      <w:color w:val="000000"/>
      <w:sz w:val="23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hyperlink" Target="https://my.feishu.cn/docx/W0UUdRNavoTPqXxCWrpcmIzhneg" TargetMode="External"/><Relationship Id="rId6" Type="http://schemas.openxmlformats.org/officeDocument/2006/relationships/hyperlink" Target="https://my.feishu.cn/docx/AmXddEMxrojyLZxGtvDcoUKbn0b" TargetMode="External"/><Relationship Id="rId7" Type="http://schemas.openxmlformats.org/officeDocument/2006/relationships/hyperlink" Target="https://my.feishu.cn/docx/QBWIdEWKIo1wVBxf1aXccJ9Qn0o" TargetMode="External"/><Relationship Id="rId8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2026-10-02T06:55:16Z</dcterms:created>
  <dc:creator>Apache POI</dc:creator>
</cp:coreProperties>
</file>