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怪物模块系统策划案 V0.1</w:t>
      </w:r>
    </w:p>
    <w:p>
      <w:pPr>
        <w:pStyle w:val="Subtitle"/>
      </w:pPr>
      <w:r>
        <w:t>按格装配与连续摆动规则</w:t>
      </w:r>
    </w:p>
    <w:p>
      <w:pPr/>
      <w:r>
        <w:t>修订日期 2026年10月3日 配套怪物组件配置表 V0.2</w:t>
      </w:r>
    </w:p>
    <w:p>
      <w:pPr/>
      <w:r>
        <w:t>文档说明：本文档只描述策划规则、玩家体验与系统接口，不展开程序架构和具体实现方案。</w:t>
      </w:r>
    </w:p>
    <w:p>
      <w:pPr>
        <w:pStyle w:val="Heading1"/>
      </w:pPr>
      <w:r>
        <w:t>1 系统目标</w:t>
      </w:r>
    </w:p>
    <w:p>
      <w:pPr/>
      <w:r>
        <w:t>怪物由不同型号的模块按格连接而成，模块尺寸、碰撞形状、质量和运动参数共同决定战斗表现。本轮明确装配、心脏、运动、攻击与失效规则，不修改养成与变异机制。</w:t>
      </w:r>
    </w:p>
    <w:p>
      <w:pPr/>
      <w:r>
        <w:t>关键原则：任何能直接影响玩法的外形变化，尽量对应真实模块参数；任何核心战斗结果，尽量能追溯到模块与物理状态。</w:t>
      </w:r>
    </w:p>
    <w:p>
      <w:pPr>
        <w:pStyle w:val="Heading1"/>
      </w:pPr>
      <w:r>
        <w:t>2 按格装配与连接规则</w:t>
      </w:r>
    </w:p>
    <w:p>
      <w:pPr>
        <w:numPr>
          <w:numId w:val="1"/>
        </w:numPr>
      </w:pPr>
      <w:r>
        <w:t>生成与连接使用整数格，所有尺寸统一以宽×高记。占格用于检查初始放置；战斗中使用真实碰撞形状与连续角度运动。</w:t>
      </w:r>
    </w:p>
    <w:p>
      <w:pPr>
        <w:numPr>
          <w:numId w:val="2"/>
        </w:numPr>
      </w:pPr>
      <w:r>
        <w:t>安装方向只取四种：0°自然向下、90°向右、180°向上、270°向左。90°或270°时交换占格宽高；先按安装方向检查占格，再按初始相位进入运动。摆动路径不额外占用生成格。</w:t>
      </w:r>
    </w:p>
    <w:p>
      <w:pPr>
        <w:numPr>
          <w:numId w:val="3"/>
        </w:numPr>
      </w:pPr>
      <w:r>
        <w:t>摆动肢体是一格齿轮关节连接一根杆。杆按整格长度定义，生成时可占一格宽，实际碰撞杆宽可只有半格。下一段只允许接在杆末端，不能接在杆中途；齿轮空闲侧接口仍可接其他模块。</w:t>
      </w:r>
    </w:p>
    <w:p>
      <w:pPr>
        <w:numPr>
          <w:numId w:val="4"/>
        </w:numPr>
      </w:pPr>
      <w:r>
        <w:t>身体外边缘的可用格接口可以连接身体、头、肢体等模块。当前只描述连接与放置合法性，不在本轮定义随机生成结构的概率。</w:t>
      </w:r>
    </w:p>
    <w:p>
      <w:pPr>
        <w:numPr>
          <w:numId w:val="5"/>
        </w:numPr>
      </w:pPr>
      <w:r>
        <w:t>连接直接连上后永久保持，不配置连接生命值、连接强度或受力断裂阈值。模块仍可被攻击摧毁；因模块消失而断开与心脏的通路，是结构失效而非连接被拉断。</w:t>
      </w:r>
    </w:p>
    <w:p>
      <w:pPr/>
      <w:r>
        <w:t>一只怪物仅有一个心脏，心脏占1×1格并嵌在身体预留孔位内，不与身体碰撞块重叠。默认先关闭同一存活怪物内部模块碰撞；对地面、建筑、人类以及掉落残骸仍参与外部碰撞。</w:t>
      </w:r>
    </w:p>
    <w:p>
      <w:pPr/>
      <w:r>
        <w:t>模块被毁后，仍通过存活结构连到心脏的模块继续工作；失去心脏通路的整片存活结构停止驱动并掉落。心脏失去包围它的身体也可继续受击与移动，心脏自身未归零不立即判败。</w:t>
      </w:r>
    </w:p>
    <w:p>
      <w:pPr/>
      <w:r>
        <w:t>结构关系示意</w:t>
      </w:r>
    </w:p>
    <w:p>
      <w:pPr/>
      <w:r>
        <w:t>唯一心脏 嵌在身体预留格中 → 身体外边缘接口 接头 肢体 尾巴 翅膀 角 爪 蹄 → 摆动肢体 齿轮一格加杆 杆末端继续接下一段 → 模块被毁才改变结构 连接自身不损坏</w:t>
      </w:r>
    </w:p>
    <w:p>
      <w:pPr>
        <w:pStyle w:val="Heading1"/>
      </w:pPr>
      <w:r>
        <w:t>3 模块分类</w:t>
      </w:r>
    </w:p>
    <w:p>
      <w:pPr>
        <w:keepNext/>
      </w:pPr>
      <w:r>
        <w:t>标准体型以羊为尺寸参照，并不限定怪物外形。所有尺寸按宽×高写；一格关节已经包含在摆动肢体总长内。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标准部位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占格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身体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5×3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内含1×1心脏槽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1×1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嵌在身体内，不额外增大外尺寸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两条腿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各1×3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关节1格＋杆2格；不含独立蹄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头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2×2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标准普通头；喷火头可替换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尾巴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横向2×1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局部1×2，270°安装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独立蹄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标准1×1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若加在腿末端，总垂直长度增至4格</w:t>
            </w:r>
          </w:p>
        </w:tc>
      </w:tr>
    </w:tbl>
    <w:p>
      <w:pPr>
        <w:keepNext/>
      </w:pPr>
      <w:r>
        <w:t>标准心脏1、身体15、普通头4、两条标准腿各2、短尾1，合计质量25。此组合不含额外蹄、角、爪或翅膀；添加模块后按各模块质量相加。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类别与型号数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当前尺寸与属性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唯一失败核心，需保护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1×1；独立耐久与质量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身体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承载并保护心脏，提供接口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3×3、5×3、7×5；内部预留1格心脏槽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头 6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碰撞或喷火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普通头3个，喷火头3个；喷火属性随头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摆动肢体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支撑、推进、踩踏、串接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局部1×2、1×3、1×4；关节加杆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尾巴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摆动、扫击或重锤碰撞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局部1×2、1×4、1×3；横向安装交换宽高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翅膀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摆动产生简化升力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局部3×2、4×2、6×2；安装后尺寸随方向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角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被动接触穿刺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局部1×1、1×2、1×3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爪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被动接触抓撞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局部1×1、1×2、2×1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蹄 3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触地与踩踏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1×1、1×1、2×1；作为独立模块另计占格</w:t>
            </w:r>
          </w:p>
        </w:tc>
      </w:tr>
    </w:tbl>
    <w:p>
      <w:pPr>
        <w:pStyle w:val="Heading1"/>
        <w:keepNext/>
      </w:pPr>
      <w:r>
        <w:t>4 基础属性模型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属性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适用对象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生命值 hp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归零摧毁；心脏归零立即失败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质量 mass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独立字段；参与惯性、重心和接触，不自动提升扭矩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占格 gridw gridh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整数宽高；安装90°或270°交换宽高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碰撞 box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局部碰撞形状；可比生成占格更细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轴心 pivot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确定连接和旋转的实际位置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安装 angle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0°下、90°右、180°上、270°左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接口 attach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按外边缘、根部或根部加末端定义；杆中途不能接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心脏槽 coreslot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身体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身体内部一格孔位，仅放置唯一心脏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摩擦 friction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默认0.5，肢体与蹄初值0.8；摩擦力随实际法向力变化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弹性 bounce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所有模块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初值0.05；连接没有受力损坏属性</w:t>
            </w:r>
          </w:p>
        </w:tc>
      </w:tr>
    </w:tbl>
    <w:p>
      <w:pPr>
        <w:pStyle w:val="Heading1"/>
      </w:pPr>
      <w:r>
        <w:t>5 肢体运动参数</w:t>
      </w:r>
    </w:p>
    <w:p>
      <w:pPr>
        <w:keepNext/>
      </w:pPr>
      <w:r>
        <w:t>齿轮做有限角度的连续往复摆动，不作无限旋转。不同肢体的目标频率、力矩和长度可以分别配置，触地节奏由实际运行结果决定。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2551"/>
        <w:gridCol w:w="2835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型号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总长与耐久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目标频率与振幅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最大扭矩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短快肢体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2格 HP25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1.5 Hz ±30°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280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标准肢体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3格 HP35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 Hz ±35°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长力肢体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4格 HP55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0.7 Hz ±40°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700</w:t>
            </w:r>
          </w:p>
        </w:tc>
      </w:tr>
    </w:tbl>
    <w:p>
      <w:pPr>
        <w:keepNext/>
      </w:pPr>
      <w:r>
        <w:t>短尾建议0.7 Hz、±20°、扭矩80；标准翼建议2 Hz、±45°、扭矩160。尾巴和翅膀先采用对称摆动，动力段50%，回摆扭矩100%。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标准肢体建议初值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总长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占格长度含1格关节，不再重复加关节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3格＝1格关节＋2格杆；轴到末端2.5格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物理杆宽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碰撞宽度与生成宽分离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占1格宽，实际杆宽0.5格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目标频率 frequency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每秒完整摆动周期数，实际动作可能受阻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 Hz；不是单独配置的触地步频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振幅 amplitude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相对安装朝向的单侧最大摆角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±35°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初始相位 phase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进入摆动周期的位置；不决定占格朝向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0°；两条腿实例建议错开为0°与180°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安装朝向 angle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初始结构朝向；与相位分开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标准腿0°朝下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最大扭矩 torque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关节驱动上限，重量增加不自动加大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400 质量单位·格²/秒²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动力段 strokeratio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向后蹬地段占周期的比例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65%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回摆 returnratio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回摆段扭矩相对最大扭矩的比例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40%</w:t>
            </w:r>
          </w:p>
        </w:tc>
      </w:tr>
    </w:tbl>
    <w:p>
      <w:pPr>
        <w:pStyle w:val="Heading1"/>
        <w:keepNext/>
      </w:pPr>
      <w:r>
        <w:t>6 翅膀参数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规则与标准翼建议初值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面积 wingarea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有效面积6格²；不直接按占格面积计算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目标摆动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 Hz，振幅±45°；最大扭矩160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升力参考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liftref=80；arearef=6；frequencyref=2；amplituderef=45；wingefficiency=1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实际输出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用实际摆动频率和振幅计算，卡住则升力为零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飞行结果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由力的方向、作用点、总质量与重力共同决定；装翼不保证起飞</w:t>
            </w:r>
          </w:p>
        </w:tc>
      </w:tr>
    </w:tbl>
    <w:p>
      <w:pPr/>
      <w:r>
        <w:t>简化平均升力关系如下。A为有效面积，f与a分别为实际达到的频率和单侧振幅，η为效率；参考值取对应型号配置。</w:t>
      </w:r>
    </w:p>
    <w:p>
      <w:pPr/>
      <m:oMathPara xmlns:m="http://schemas.openxmlformats.org/officeDocument/2006/math">
        <m:oMath>
          <m:r>
            <m:t>F = </m:t>
          </m:r>
          <m:sSub>
            <m:e>
              <m:r>
                <m:t>F</m:t>
              </m:r>
            </m:e>
            <m:sub>
              <m:r>
                <m:t>ref</m:t>
              </m:r>
            </m:sub>
          </m:sSub>
          <m:r>
            <m:t> × (A / </m:t>
          </m:r>
          <m:sSub>
            <m:e>
              <m:r>
                <m:t>A</m:t>
              </m:r>
            </m:e>
            <m:sub>
              <m:r>
                <m:t>ref</m:t>
              </m:r>
            </m:sub>
          </m:sSub>
          <m:r>
            <m:t>) × </m:t>
          </m:r>
          <m:sSup>
            <m:e>
              <m:r>
                <m:t>(f / </m:t>
              </m:r>
              <m:sSub>
                <m:e>
                  <m:r>
                    <m:t>f</m:t>
                  </m:r>
                </m:e>
                <m:sub>
                  <m:r>
                    <m:t>ref</m:t>
                  </m:r>
                </m:sub>
              </m:sSub>
              <m:r>
                <m:t>)</m:t>
              </m:r>
            </m:e>
            <m:sup>
              <m:r>
                <m:t>2</m:t>
              </m:r>
            </m:sup>
          </m:sSup>
          <m:r>
            <m:t> × </m:t>
          </m:r>
          <m:sSup>
            <m:e>
              <m:r>
                <m:t>(a / </m:t>
              </m:r>
              <m:sSub>
                <m:e>
                  <m:r>
                    <m:t>a</m:t>
                  </m:r>
                </m:e>
                <m:sub>
                  <m:r>
                    <m:t>ref</m:t>
                  </m:r>
                </m:sub>
              </m:sSub>
              <m:r>
                <m:t>)</m:t>
              </m:r>
            </m:e>
            <m:sup>
              <m:r>
                <m:t>2</m:t>
              </m:r>
            </m:sup>
          </m:sSup>
          <m:r>
            <m:t> × η</m:t>
          </m:r>
        </m:oMath>
      </m:oMathPara>
    </w:p>
    <w:p>
      <w:pPr>
        <w:pStyle w:val="Heading1"/>
      </w:pPr>
      <w:r>
        <w:t>7 派生物理结果</w:t>
      </w:r>
    </w:p>
    <w:p>
      <w:pPr>
        <w:keepNext/>
      </w:pPr>
      <w:r>
        <w:t>物理与伤害参数为建议初值：重力10格/秒²；弹性0.05；接触能量阈值5；伤害换算系数0.4；同一碰撞对伤害间隔0.25秒。它们尚未经过战斗验证。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输入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推进速度与步频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实际摆动、扭矩、相位、质量、摩擦和地形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来自物理接触，不配置固定跑速或独立步频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接触伤害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接触有效质量、法向接近速度、阈值与模块系数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重而快的接触造成较大耐久损失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击退与坍塌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实际碰撞冲量与剩余支撑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伤害倍率不自动放大冲量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升力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面积、实际频率、实际振幅和效率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与总重量共同决定是否离地</w:t>
            </w:r>
          </w:p>
        </w:tc>
      </w:tr>
    </w:tbl>
    <w:p>
      <w:pPr>
        <w:pStyle w:val="Heading1"/>
      </w:pPr>
      <w:r>
        <w:t>8 攻击伤害规则</w:t>
      </w:r>
    </w:p>
    <w:p>
      <w:pPr>
        <w:pStyle w:val="Heading2"/>
      </w:pPr>
      <w:r>
        <w:t>8.1 踩踏与冲撞</w:t>
      </w:r>
    </w:p>
    <w:p>
      <w:pPr/>
      <w:r>
        <w:t>踩踏、冲撞及角、爪、蹄采用同一接触能量模型。有效质量取当前参与接触的结构，不能直接用整只怪物总质量替代；速度取接触面的法向接近分量，静止顶住不持续扣血。</w:t>
      </w:r>
    </w:p>
    <w:p>
      <w:pPr/>
      <m:oMathPara xmlns:m="http://schemas.openxmlformats.org/officeDocument/2006/math">
        <m:oMath>
          <m:r>
            <m:t>E = 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 × </m:t>
          </m:r>
          <m:sSub>
            <m:e>
              <m:r>
                <m:t>m</m:t>
              </m:r>
            </m:e>
            <m:sub>
              <m:r>
                <m:t>eff</m:t>
              </m:r>
            </m:sub>
          </m:sSub>
          <m:r>
            <m:t> × </m:t>
          </m:r>
          <m:sSup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  <m:sup>
              <m:r>
                <m:t>2</m:t>
              </m:r>
            </m:sup>
          </m:sSup>
        </m:oMath>
      </m:oMathPara>
    </w:p>
    <w:p>
      <w:pPr/>
      <w:r>
        <w:t>其中m_eff为接触有效质量，v_n为法向接近速度；E采用本项目格与质量单位的能量尺度。</w:t>
      </w:r>
    </w:p>
    <w:p>
      <w:pPr/>
      <m:oMathPara xmlns:m="http://schemas.openxmlformats.org/officeDocument/2006/math">
        <m:oMath>
          <m:r>
            <m:t>D = k × c × max(E − 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, 0)</m:t>
          </m:r>
        </m:oMath>
      </m:oMathPara>
    </w:p>
    <w:p>
      <w:pPr/>
      <w:r>
        <w:t>k对应impactscale，初值0.4；c对应impactfactor；E0对应impactthreshold，初值5。例如有效质量2、法向接近速度4时，E=16，标准肢体c=1.1，伤害为4.84。</w:t>
      </w:r>
    </w:p>
    <w:p>
      <w:pPr>
        <w:numPr>
          <w:numId w:val="7"/>
        </w:numPr>
      </w:pPr>
      <w:r>
        <w:t>碰撞冲量负责实际位移、击退与坍塌；伤害系数只调耐久损失，不同步放大物理冲量。</w:t>
      </w:r>
    </w:p>
    <w:p>
      <w:pPr>
        <w:numPr>
          <w:numId w:val="8"/>
        </w:numPr>
      </w:pPr>
      <w:r>
        <w:t>能量低于阈值不造成碰撞伤害。同一接触物与同一目标使用0.25秒碰撞伤害间隔，避免持续贴住时重复结算；角、爪、蹄通过impactfactor区分破坏能力，不另配主动攻击频率。</w:t>
      </w:r>
    </w:p>
    <w:p>
      <w:pPr>
        <w:pStyle w:val="Heading2"/>
      </w:pPr>
      <w:r>
        <w:t>8.2 喷火头</w:t>
      </w:r>
    </w:p>
    <w:p>
      <w:pPr/>
      <w:r>
        <w:t>喷火器官固定在头上，作为喷火头型号存在，不再生成独立喷火器官。喷火头共用整颗头的占格、碰撞形状、质量和生命值；头被毁后立即停止喷火。角、爪、蹄仍为接触攻击。</w:t>
      </w:r>
    </w:p>
    <w:p>
      <w:pPr>
        <w:keepNext/>
      </w:pPr>
      <w:r>
        <w:t>喷火沿头的朝向自动释放，头随结构转动时喷射方向也随之改变。范围用射程和喷射锥总角度限定，伤害按DPS×命中时间结算；墙与其他阻挡结构遮挡喷火，不能穿透整栋楼。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38"/>
        <w:gridCol w:w="1928"/>
        <w:gridCol w:w="1304"/>
        <w:gridCol w:w="2268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喷火头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占格与方向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DPS与射程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总锥角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持续与结束后冷却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近距散射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局部2×2，90°向右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18；5格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60°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1.5秒；2.5秒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标准喷火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局部2×2，90°向右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25；8格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30°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1.5秒；3秒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远射窄喷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局部2×3，90°后3×2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22；12格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15°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1秒；4秒</w:t>
            </w:r>
          </w:p>
        </w:tc>
      </w:tr>
    </w:tbl>
    <w:p>
      <w:pPr/>
      <w:r>
        <w:t>标准喷火头完整命中1.5秒造成37.5伤害，完整释放与冷却周期4.5秒，平均输出约8.33/秒。第一版不追加点燃持续伤害或火焰传播，以免重复计算。</w:t>
      </w:r>
    </w:p>
    <w:p>
      <w:pPr>
        <w:pStyle w:val="Heading1"/>
      </w:pPr>
      <w:r>
        <w:t>9 模块摧毁系统</w:t>
      </w:r>
    </w:p>
    <w:p>
      <w:pPr/>
      <w:r>
        <w:t>怪物模块被毁后丧失自身功能；人类单位不使用这套模块拆解规则。建筑使用独立结构耐久与支撑规则。</w:t>
      </w:r>
    </w:p>
    <w:p>
      <w:pPr/>
      <w:r>
        <w:t>模块受损与失效流程</w:t>
      </w:r>
    </w:p>
    <w:p>
      <w:pPr/>
      <w:r>
        <w:t>攻击或坠落结构件命中具体怪物模块 → 扣除模块生命值并处理物理受力 → 生命值归零 模块失效移除 → 仍连着心脏的模块继续工作 失去心脏通路的存活结构停止驱动并掉落 → 重算质量与重心 检查心脏与停滞失败条件</w:t>
      </w:r>
    </w:p>
    <w:p>
      <w:pPr/>
      <w:r>
        <w:t>一条腿被毁会改变支撑、步态和重心。掉落部分成为无驱动残骸，保留存活模块之间的连接；不再作为怪物可用攻击或运动模块。</w:t>
      </w:r>
    </w:p>
    <w:p>
      <w:pPr>
        <w:pStyle w:val="Heading1"/>
        <w:keepNext/>
      </w:pPr>
      <w:r>
        <w:t>10 怪物死亡判定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失败条件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具体检查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结果与例外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心脏被毁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唯一心脏hp≤0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立即结束战斗，不等待停滞计时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长时间无进展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连续4秒，心脏沿前进方向净位移＜0.4格，且阻路目标无实际耐久下降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判败；静止但持续拆障时继续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有效拆障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本次攻击实际降低了阻挡怪物前进的目标耐久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算进展；仅动画、接触或攻击无关目标不算</w:t>
            </w:r>
          </w:p>
        </w:tc>
      </w:tr>
    </w:tbl>
    <w:p>
      <w:pPr/>
      <w:r>
        <w:t>先处理本次运动和伤害，再执行停滞检查；心脏耐久归零优先判败。有实际拆障进展就继续，空打和攻击不阻路的目标不算进展。</w:t>
      </w:r>
    </w:p>
    <w:p>
      <w:pPr>
        <w:pStyle w:val="Heading1"/>
        <w:keepNext/>
      </w:pPr>
      <w:r>
        <w:t>11 玩家属性展示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玩家看到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策划内部保留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整体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心脏状态、剩余模块、总质量、推进进度与记录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不生成总战力或总攻击力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普通模块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生命状态、质量、尺寸、接触功能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摩擦、弹性和接触伤害参数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肢体与尾巴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长度、摆动快慢、摆动范围与支撑表现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精确频率、相位、扭矩和动力比例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翅膀与喷火头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翼大小、升力表现，喷火射程与节奏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升力系数与伤害换算细节</w:t>
            </w:r>
          </w:p>
        </w:tc>
      </w:tr>
    </w:tbl>
    <w:p>
      <w:pPr>
        <w:pStyle w:val="Heading1"/>
      </w:pPr>
      <w:r>
        <w:t>12 与养成 / 进攻系统的接口</w:t>
      </w:r>
    </w:p>
    <w:p>
      <w:pPr>
        <w:keepNext/>
      </w:pPr>
      <w:bookmarkStart w:name="heading_16" w:id="16"/>
      <w:r>
        <w:t>系统接口图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来源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传递内容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去向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养成系统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修改模块参数、增加/删除/重新连接模块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怪物模块系统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怪物模块系统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输出按格装配的实例结构、唯一心脏与当前物理状态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进攻关卡系统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进攻关卡系统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命中具体模块，造成耐久损失与物理受力；记录推进结果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怪物模块系统 / 养成系统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死灵之书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保存完整拓扑与参数快照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后续召唤生成怪物实例</w:t>
            </w:r>
          </w:p>
        </w:tc>
      </w:tr>
    </w:tbl>
    <w:p>
      <w:pPr>
        <w:pStyle w:val="Heading1"/>
      </w:pPr>
      <w:r>
        <w:t>13 配置表与待调参数</w:t>
      </w:r>
    </w:p>
    <w:p>
      <w:pPr>
        <w:numPr>
          <w:numId w:val="9"/>
        </w:numPr>
      </w:pPr>
      <w:r>
        <w:t>当前数据来源为同目录的《怪物组件配置表_V0.2.xlsx》，共30个型号。一个型号可以产生多个实例；型号数量不是一只怪物的模块上限，心脏仅允许一个。</w:t>
      </w:r>
    </w:p>
    <w:p>
      <w:pPr>
        <w:numPr>
          <w:numId w:val="10"/>
        </w:numPr>
      </w:pPr>
      <w:r>
        <w:t>生命值与质量分别作为可调字段，不按占格面积自动推导；总质量等于仍连接心脏的存活模块质量之和。质量变化不会自动增加关节扭矩。</w:t>
      </w:r>
    </w:p>
    <w:p>
      <w:pPr>
        <w:numPr>
          <w:numId w:val="11"/>
        </w:numPr>
      </w:pPr>
      <w:r>
        <w:t>本轮不增加连接耐久、能量槽、能耗、稀有度、解锁成本或变异权重。连接不损坏；模块耐久与物理接触负责结构破坏。</w:t>
      </w:r>
    </w:p>
    <w:p>
      <w:pPr>
        <w:numPr>
          <w:numId w:val="12"/>
        </w:numPr>
      </w:pPr>
      <w:r>
        <w:t>接触伤害先使用能量阈值加线性换算，数值表记录impactthreshold、impactscale、impactfactor与impactcd。极端质量和速度的伤害上限仍待试验调参。</w:t>
      </w:r>
    </w:p>
    <w:p>
      <w:pPr>
        <w:numPr>
          <w:numId w:val="13"/>
        </w:numPr>
      </w:pPr>
      <w:r>
        <w:t>翅膀采用简化平均升力，以实际达到的摆动频率和振幅计算；受阻未摆动时升力为零。升力模型与运动参数为建议初值，需要后续验证。</w:t>
      </w:r>
    </w:p>
    <w:p>
      <w:pPr>
        <w:numPr>
          <w:numId w:val="14"/>
        </w:numPr>
      </w:pPr>
      <w:r>
        <w:t>喷火头使用DPS、射程、喷射锥总角度、持续时间与结束后冷却；其与物理攻击的平衡待调参。养成与变异仍按原子案保留，不在此轮决定。</w:t>
      </w:r>
    </w:p>
    <w:sectPr>
      <w:footerReference w:type="default" r:id="rId3"/>
      <w:headerReference w:type="default" r:id="rId5"/>
      <w:pgSz w:orient="portrait" w:h="16838" w:w="11906"/>
      <w:pgMar w:top="1077" w:bottom="1077" w:left="1134" w:right="1134" w:header="454" w:footer="45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6001">
    <w:lvl>
      <w:numFmt w:val="bullet"/>
      <w:suff w:val="tab"/>
      <w:lvlText w:val="•"/>
      <w:rPr>
        <w:color w:val="000000"/>
      </w:rPr>
    </w:lvl>
  </w:abstractNum>
  <w:abstractNum w:abstractNumId="866002">
    <w:lvl>
      <w:numFmt w:val="bullet"/>
      <w:suff w:val="tab"/>
      <w:lvlText w:val="•"/>
      <w:rPr>
        <w:color w:val="000000"/>
      </w:rPr>
    </w:lvl>
  </w:abstractNum>
  <w:abstractNum w:abstractNumId="866003">
    <w:lvl>
      <w:numFmt w:val="bullet"/>
      <w:suff w:val="tab"/>
      <w:lvlText w:val="•"/>
      <w:rPr>
        <w:color w:val="000000"/>
      </w:rPr>
    </w:lvl>
  </w:abstractNum>
  <w:abstractNum w:abstractNumId="866004">
    <w:lvl>
      <w:numFmt w:val="bullet"/>
      <w:suff w:val="tab"/>
      <w:lvlText w:val="•"/>
      <w:rPr>
        <w:color w:val="000000"/>
      </w:rPr>
    </w:lvl>
  </w:abstractNum>
  <w:abstractNum w:abstractNumId="866005">
    <w:lvl>
      <w:numFmt w:val="bullet"/>
      <w:suff w:val="tab"/>
      <w:lvlText w:val="•"/>
      <w:rPr>
        <w:color w:val="000000"/>
      </w:rPr>
    </w:lvl>
  </w:abstractNum>
  <w:abstractNum w:abstractNumId="866006">
    <w:lvl>
      <w:numFmt w:val="bullet"/>
      <w:suff w:val="tab"/>
      <w:lvlText w:val="•"/>
      <w:rPr>
        <w:color w:val="000000"/>
      </w:rPr>
    </w:lvl>
  </w:abstractNum>
  <w:abstractNum w:abstractNumId="866007">
    <w:lvl>
      <w:numFmt w:val="bullet"/>
      <w:suff w:val="tab"/>
      <w:lvlText w:val="•"/>
      <w:rPr>
        <w:color w:val="000000"/>
      </w:rPr>
    </w:lvl>
  </w:abstractNum>
  <w:abstractNum w:abstractNumId="866008">
    <w:lvl>
      <w:numFmt w:val="bullet"/>
      <w:suff w:val="tab"/>
      <w:lvlText w:val="•"/>
      <w:rPr>
        <w:color w:val="000000"/>
      </w:rPr>
    </w:lvl>
  </w:abstractNum>
  <w:abstractNum w:abstractNumId="866009">
    <w:lvl>
      <w:numFmt w:val="bullet"/>
      <w:suff w:val="tab"/>
      <w:lvlText w:val="•"/>
      <w:rPr>
        <w:color w:val="000000"/>
      </w:rPr>
    </w:lvl>
  </w:abstractNum>
  <w:abstractNum w:abstractNumId="866010">
    <w:lvl>
      <w:numFmt w:val="bullet"/>
      <w:suff w:val="tab"/>
      <w:lvlText w:val="•"/>
      <w:rPr>
        <w:color w:val="000000"/>
      </w:rPr>
    </w:lvl>
  </w:abstractNum>
  <w:abstractNum w:abstractNumId="866011">
    <w:lvl>
      <w:numFmt w:val="bullet"/>
      <w:suff w:val="tab"/>
      <w:lvlText w:val="•"/>
      <w:rPr>
        <w:color w:val="000000"/>
      </w:rPr>
    </w:lvl>
  </w:abstractNum>
  <w:abstractNum w:abstractNumId="866012">
    <w:lvl>
      <w:numFmt w:val="bullet"/>
      <w:suff w:val="tab"/>
      <w:lvlText w:val="•"/>
      <w:rPr>
        <w:color w:val="000000"/>
      </w:rPr>
    </w:lvl>
  </w:abstractNum>
  <w:abstractNum w:abstractNumId="866013">
    <w:lvl>
      <w:numFmt w:val="bullet"/>
      <w:suff w:val="tab"/>
      <w:lvlText w:val="•"/>
      <w:rPr>
        <w:color w:val="000000"/>
      </w:rPr>
    </w:lvl>
  </w:abstractNum>
  <w:abstractNum w:abstractNumId="866014">
    <w:lvl>
      <w:numFmt w:val="bullet"/>
      <w:suff w:val="tab"/>
      <w:lvlText w:val="•"/>
      <w:rPr>
        <w:color w:val="000000"/>
      </w:rPr>
    </w:lvl>
  </w:abstractNum>
  <w:num w:numId="1">
    <w:abstractNumId w:val="866001"/>
  </w:num>
  <w:num w:numId="2">
    <w:abstractNumId w:val="866002"/>
  </w:num>
  <w:num w:numId="3">
    <w:abstractNumId w:val="866003"/>
  </w:num>
  <w:num w:numId="4">
    <w:abstractNumId w:val="866004"/>
  </w:num>
  <w:num w:numId="5">
    <w:abstractNumId w:val="866005"/>
  </w:num>
  <w:num w:numId="6">
    <w:abstractNumId w:val="866006"/>
  </w:num>
  <w:num w:numId="7">
    <w:abstractNumId w:val="866007"/>
  </w:num>
  <w:num w:numId="8">
    <w:abstractNumId w:val="866008"/>
  </w:num>
  <w:num w:numId="9">
    <w:abstractNumId w:val="866009"/>
  </w:num>
  <w:num w:numId="10">
    <w:abstractNumId w:val="866010"/>
  </w:num>
  <w:num w:numId="11">
    <w:abstractNumId w:val="866011"/>
  </w:num>
  <w:num w:numId="12">
    <w:abstractNumId w:val="866012"/>
  </w:num>
  <w:num w:numId="13">
    <w:abstractNumId w:val="866013"/>
  </w:num>
  <w:num w:numId="14">
    <w:abstractNumId w:val="866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keepNext w:val="0"/>
      <w:widowControl/>
      <w:spacing w:before="0" w:after="100" w:line="269" w:lineRule="auto"/>
    </w:pPr>
    <w:rPr>
      <w:rFonts w:ascii="Arial" w:hAnsi="Arial" w:eastAsia="等线"/>
      <w:b w:val="0"/>
      <w:i w:val="0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69" w:lineRule="auto" w:before="0"/>
      <w:contextualSpacing/>
    </w:pPr>
    <w:rPr>
      <w:rFonts w:ascii="Arial" w:hAnsi="Arial" w:eastAsia="等线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269" w:lineRule="auto"/>
    </w:pPr>
    <w:rPr>
      <w:rFonts w:ascii="Arial" w:hAnsi="Arial" w:eastAsia="等线"/>
      <w:b w:val="0"/>
      <w:i w:val="0"/>
      <w:iCs/>
      <w:color w:val="000000"/>
      <w:spacing w:val="15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69" w:lineRule="auto"/>
      <w:outlineLvl w:val="0"/>
    </w:pPr>
    <w:rPr>
      <w:rFonts w:ascii="Arial" w:hAnsi="Arial" w:eastAsia="等线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 w:line="269" w:lineRule="auto"/>
      <w:outlineLvl w:val="1"/>
    </w:pPr>
    <w:rPr>
      <w:rFonts w:ascii="Arial" w:hAnsi="Arial" w:eastAsia="等线"/>
      <w:b/>
      <w:bCs/>
      <w:i w:val="0"/>
      <w:color w:val="000000"/>
      <w:sz w:val="23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2026-10-02T06:56:28Z</dcterms:created>
  <dc:creator>Apache POI</dc:creator>
</cp:coreProperties>
</file>