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进攻关卡系统策划案 V0.1</w:t>
      </w:r>
    </w:p>
    <w:p>
      <w:pPr>
        <w:pStyle w:val="Subtitle"/>
      </w:pPr>
      <w:r>
        <w:t>固定城市关卡与物理破坏规则</w:t>
      </w:r>
    </w:p>
    <w:p>
      <w:pPr/>
      <w:r>
        <w:t>修订日期 2026年10月3日 模块规则与配置表同步</w:t>
      </w:r>
    </w:p>
    <w:p>
      <w:pPr/>
      <w:r>
        <w:t>文档说明：本文档只描述策划规则、玩家体验与系统接口，不展开程序架构和具体实现方案。</w:t>
      </w:r>
    </w:p>
    <w:p>
      <w:pPr>
        <w:pStyle w:val="Heading1"/>
      </w:pPr>
      <w:r>
        <w:t>1 系统目标</w:t>
      </w:r>
    </w:p>
    <w:p>
      <w:pPr/>
      <w:r>
        <w:t>进攻关卡是养成结果的主要验证场。玩家选择一只培养完成的怪物，把它放入横版连续地图；怪物自动向前推进，在乡村、城镇、城市和公司区域中承受人类火力、破坏建筑、碾压防线。进攻结果应该直接体现怪物的真实身体结构，而不是只看一个“战力值”。</w:t>
      </w:r>
    </w:p>
    <w:p>
      <w:pPr/>
      <w:r>
        <w:t>体验目标：怪物自动向前拆城，建筑局部失去支撑后坍塌；模块被毁后继续以残缺结构推进，心脏必须受到保护。</w:t>
      </w:r>
    </w:p>
    <w:p>
      <w:pPr>
        <w:pStyle w:val="Heading1"/>
      </w:pPr>
      <w:r>
        <w:t>2 关卡总体结构</w:t>
      </w:r>
    </w:p>
    <w:p>
      <w:pPr/>
      <w:bookmarkStart w:name="heading_2" w:id="2"/>
      <w:r>
        <w:t>单次进攻流程图</w:t>
      </w:r>
      <w:bookmarkEnd w:id="2"/>
    </w:p>
    <w:p>
      <w:pPr/>
      <w:r>
        <w:t>从死灵之书或培养区选择一只怪物 → 进入完全固定地图 从最初区域开始 所有防御开局预置 → 自动推进与接触攻击 喷火头按固定节奏释放 人类反击 → 建筑结构件耐久归零 失去支撑的存活块倒塌 → 怪物模块被毁改变运动与攻击 连接不受力断裂 → 心脏被毁或长时间无进展判败 有效拆障继续 → 记录最远推进与破坏表现 返回养成</w:t>
      </w:r>
    </w:p>
    <w:p>
      <w:pPr>
        <w:pStyle w:val="Heading1"/>
      </w:pPr>
      <w:r>
        <w:t>3 地图形式</w:t>
      </w:r>
    </w:p>
    <w:p>
      <w:pPr/>
      <w:r>
        <w:t>横屏参考比例21∶9，单个参考视野为63×27格。地图可向右延伸；63格是画面参考宽度，不是整关长度。不同设备视野适配与整图长度仍待确认。</w:t>
      </w:r>
    </w:p>
    <w:p>
      <w:pPr/>
      <w:r>
        <w:t>标准怪物尺寸参照：身体5×3格，头2×2格，两条腿各1×3格，横向尾巴2×1格；心脏嵌在身体内部。独立蹄另加格。关卡障碍按这一尺度设计。</w:t>
      </w:r>
    </w:p>
    <w:p>
      <w:pPr/>
      <w:r>
        <w:t>怪物只需要摧毁房屋，不进入房间。建筑尺寸与楼层用于外部碰撞、阻挡和坍塌；不设置3格室内净空或给怪物穿屋的通道要求。</w:t>
      </w:r>
    </w:p>
    <w:p>
      <w:pPr>
        <w:numPr>
          <w:numId w:val="1"/>
        </w:numPr>
      </w:pPr>
      <w:r>
        <w:t>采用横版连续推进地图。可以按区域划分内容，但不必做成彼此独立、每次加载的“关卡”。</w:t>
      </w:r>
    </w:p>
    <w:p>
      <w:pPr>
        <w:numPr>
          <w:numId w:val="2"/>
        </w:numPr>
      </w:pPr>
      <w:r>
        <w:t>当前默认每次进攻从起点开始，以便让旧区域成为最直观的成长参照。</w:t>
      </w:r>
    </w:p>
    <w:p>
      <w:pPr>
        <w:numPr>
          <w:numId w:val="3"/>
        </w:numPr>
      </w:pPr>
      <w:r>
        <w:t>第一版采用完全固定的地图：楼体结构、建筑位置、地面、人类初始位置与武器配置均预先设计。当前不采用随机楼体、随机防御点位或战斗中增援。</w:t>
      </w:r>
    </w:p>
    <w:p>
      <w:pPr>
        <w:numPr>
          <w:numId w:val="4"/>
        </w:numPr>
      </w:pPr>
      <w:r>
        <w:t>早期随着怪物变强，乡村与低级防线应该迅速被碾压，不应长期拖慢重复进攻。</w:t>
      </w:r>
    </w:p>
    <w:p>
      <w:pPr>
        <w:pStyle w:val="Heading1"/>
        <w:keepNext/>
      </w:pPr>
      <w:r>
        <w:t>4 区域梯度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551"/>
        <w:gridCol w:w="2551"/>
        <w:gridCol w:w="2835"/>
      </w:tblGrid>
      <w:tr>
        <w:trPr>
          <w:cantSplit/>
          <w:tblHeader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区域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场景/建筑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人类防御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主要体验</w:t>
            </w:r>
          </w:p>
        </w:tc>
      </w:tr>
      <w:tr>
        <w:trPr>
          <w:cantSplit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乡村 / 郊外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木屋、栅栏、小桥、简易仓库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村民、投矛、简易陷阱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第一次能否站稳、撞开房屋</w:t>
            </w:r>
          </w:p>
        </w:tc>
      </w:tr>
      <w:tr>
        <w:trPr>
          <w:cantSplit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小镇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砖房、街道、路障、矮楼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枪械、固定火力、小型车辆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开始出现持续射击与狭窄障碍</w:t>
            </w:r>
          </w:p>
        </w:tc>
      </w:tr>
      <w:tr>
        <w:trPr>
          <w:cantSplit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城市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多层建筑、高楼、复杂街区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重机枪、坦克、炮击、导弹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楼体坍塌与高强度模块损伤</w:t>
            </w:r>
          </w:p>
        </w:tc>
      </w:tr>
      <w:tr>
        <w:trPr>
          <w:cantSplit/>
        </w:trPr>
        <w:tc>
          <w:tcPr>
            <w:tcW w:w="170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公司区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办公楼、总部、最终核心建筑</w:t>
            </w:r>
          </w:p>
        </w:tc>
        <w:tc>
          <w:tcPr>
            <w:tcW w:w="255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最强人类火力 / Boss 型防御</w:t>
            </w:r>
          </w:p>
        </w:tc>
        <w:tc>
          <w:tcPr>
            <w:tcW w:w="28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终局摧毁目标与主题兑现</w:t>
            </w:r>
          </w:p>
        </w:tc>
      </w:tr>
    </w:tbl>
    <w:p>
      <w:pPr>
        <w:pStyle w:val="Heading1"/>
      </w:pPr>
      <w:r>
        <w:t>5 建筑物理系统</w:t>
      </w:r>
    </w:p>
    <w:p>
      <w:pPr>
        <w:keepNext/>
      </w:pPr>
      <w:r>
        <w:t>建筑由少量独立墙柱、梁、楼板、屋顶与基座构成二维物理结构。每个结构件有耐久与质量；关键结构被毁后，失去地面支撑路径的剩余块掉落。第一版不计算复杂工程应力、承重分配或连接受力断裂阈值。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建筑部分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关键属性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战斗作用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墙与柱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耐久、质量、尺寸、支撑关系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阻路与支撑；局部被毁后影响上部结构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梁与楼板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耐久、质量、跨度与支撑关系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形成层间结构，失去支撑后整块下落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屋顶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耐久、质量与支撑关系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作为存活结构件参与下落与碰撞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地面基座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固定位置与初始支撑关系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支撑路径的根；可破坏基座被毁会使上部失去支撑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装饰碎片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外观与表现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只提供视觉反馈，不作为伤害实体</w:t>
            </w:r>
          </w:p>
        </w:tc>
      </w:tr>
    </w:tbl>
    <w:p>
      <w:pPr/>
      <w:bookmarkStart w:name="heading_6" w:id="6"/>
      <w:r>
        <w:t>建筑破坏逻辑图</w:t>
      </w:r>
      <w:bookmarkEnd w:id="6"/>
    </w:p>
    <w:p>
      <w:pPr/>
      <w:r>
        <w:t>撞击或喷火命中具体结构件 → 扣耐久 并按实际碰撞产生冲量 → 耐久归零 移除该结构及其支撑关系 → 检查剩余结构是否仍有有效地面支撑 → 失去支撑的存活块按重力掉落 碰撞造成后续破坏 → 装饰碎片只负责视觉 不额外结算伤害</w:t>
      </w:r>
    </w:p>
    <w:p>
      <w:pPr/>
      <w:r>
        <w:t>表现以《高楼爆破》的分层下落和连锁坍塌为主，结合《愤怒的小鸟》的材料与支撑可读性。第一版简化到二维刚体与少量支撑关系；不要求模拟真实楼房工程。</w:t>
      </w:r>
    </w:p>
    <w:p>
      <w:pPr>
        <w:pStyle w:val="Heading1"/>
      </w:pPr>
      <w:r>
        <w:t>6 建筑属性</w:t>
      </w:r>
    </w:p>
    <w:p>
      <w:pPr>
        <w:keepNext/>
      </w:pPr>
      <w:r>
        <w:t>以下是便于后续修改的建筑建议初值，尚未逐项确认。宽高包含外部结构，楼层只作为楼体分段与防御点位参考，不产生额外敌人。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551"/>
        <w:gridCol w:w="2551"/>
        <w:gridCol w:w="2835"/>
      </w:tblGrid>
      <w:tr>
        <w:trPr>
          <w:cantSplit/>
          <w:tblHeader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建筑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外尺寸 宽×高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分层参考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主要战斗功能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木屋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8×6格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早期阻挡与低强度拆房，少量木质支撑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仓库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12×8格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宽梁跨距与大块屋顶坍塌；不产出或增援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小镇砖房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10×12格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墙体阻挡与固定窗边枪械点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固定火力楼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8×12格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2层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预置远程火力，破坏后失去落脚支撑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城市高楼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12×24格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4层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破坏下层支撑后，上部逐段下落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公司总部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18×24格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4层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最终主建筑目标与最强固定初始防御</w:t>
            </w:r>
          </w:p>
        </w:tc>
      </w:tr>
    </w:tbl>
    <w:p>
      <w:pPr>
        <w:keepNext/>
      </w:pPr>
      <w:r>
        <w:t>第一版楼体必须让支撑点清晰可见。柱梁布置、耐久与碎块数量由关卡设计控制；优先少量可读的大块结构，装饰细碎片不增加物理负担。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建筑外尺寸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宽×高，整数格；包含外墙与屋顶，不代表可进入空间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结构件尺寸与位置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由固定楼体预先设计；层高与支撑布局清晰可读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结构耐久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可破坏结构件各自独立；不是整栋共用一个生命条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质量与摩擦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质量影响砸落；摩擦初值0.5、弹性初值0.05，后续可按材料调参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支撑关系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当前固定结构的支撑路径；结构件被毁即移除相关支撑，不配连接强度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材料建议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木、砖、混凝土先体现耐久、质量和视觉差异；具体值待确认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防御位置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固定的落脚点与初始单位位置，配置射界；建筑不产生增援</w:t>
            </w:r>
          </w:p>
        </w:tc>
      </w:tr>
    </w:tbl>
    <w:p>
      <w:pPr>
        <w:pStyle w:val="Heading1"/>
      </w:pPr>
      <w:r>
        <w:t>7 人类与防御单位</w:t>
      </w:r>
    </w:p>
    <w:p>
      <w:pPr/>
      <w:r>
        <w:t>人类是独立战斗单位。怪物的“模块摧毁”只针对怪物自身，不要求人类也做断肢系统。人类可以采用更传统、清晰的单位属性。</w:t>
      </w:r>
    </w:p>
    <w:p>
      <w:pPr/>
      <w:r>
        <w:t>所有防御单位在开局固定配置，战斗中不生成新单位，也没有建筑出兵、呼叫增援或刷怪机制。倒塌结构造成脚下支撑消失时，人类随结构坠落，再按碰撞和生命值判断生死。</w:t>
      </w:r>
    </w:p>
    <w:p>
      <w:pPr>
        <w:keepNext/>
      </w:pPr>
      <w:r>
        <w:t>人类点位先检查稳定落脚面与射界，避免初始位置悬空或枪口埋在墙内。拆掉建筑改变火力位置与遮挡，不等于自动清除所有守军。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72"/>
        <w:gridCol w:w="4195"/>
      </w:tblGrid>
      <w:tr>
        <w:trPr>
          <w:cantSplit/>
          <w:tblHeader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单位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核心属性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主要作用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普通人 / 村民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生命值、移动速度、近战/投掷伤害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早期低压防御与规模反馈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投矛单位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生命值、投射伤害、射程、攻击间隔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早期远程模块损伤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枪械单位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生命值、弹丸伤害、射速、射程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持续削弱怪物暴露模块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坦克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生命值、质量、移动速度、炮击伤害、攻击间隔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中后期高单次伤害与阻挡</w:t>
            </w:r>
          </w:p>
        </w:tc>
      </w:tr>
      <w:tr>
        <w:trPr>
          <w:cantSplit/>
        </w:trPr>
        <w:tc>
          <w:tcPr>
            <w:tcW w:w="187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固定炮台 / 导弹</w:t>
            </w:r>
          </w:p>
        </w:tc>
        <w:tc>
          <w:tcPr>
            <w:tcW w:w="357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耐久、伤害、攻击间隔、射程</w:t>
            </w:r>
          </w:p>
        </w:tc>
        <w:tc>
          <w:tcPr>
            <w:tcW w:w="419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后期模块破坏与高压火力</w:t>
            </w:r>
          </w:p>
        </w:tc>
      </w:tr>
    </w:tbl>
    <w:p>
      <w:pPr>
        <w:pStyle w:val="Heading1"/>
        <w:keepNext/>
      </w:pPr>
      <w:r>
        <w:t>8 武器与伤害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攻击来源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伤害规则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投矛与子弹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命中具体模块扣耐久；伤害与冲量单独配置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坦克炮与导弹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伤害与物理推力分开调参；不能通过受力断开怪物连接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掉落建筑块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按实际接触有效质量和法向接近速度结算碰撞伤害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踩踏、冲撞、角、爪、蹄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使用模块子案能量公式与伤害系数；不直接套用整只怪物总质量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喷火头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按头型号的DPS、射程、锥角、持续与结束后冷却结算；遮挡生效，头被毁停火</w:t>
            </w:r>
          </w:p>
        </w:tc>
      </w:tr>
    </w:tbl>
    <w:p>
      <w:pPr>
        <w:pStyle w:val="Heading1"/>
      </w:pPr>
      <w:r>
        <w:t>9 怪物模块损伤</w:t>
      </w:r>
    </w:p>
    <w:p>
      <w:pPr/>
      <w:r>
        <w:t>敌方武器、掉落结构件与碰撞命中怪物的具体模块。模块耐久归零后失效，其功能消失并改变结构；怪物连接不会因受力或扭矩被拉断。</w:t>
      </w:r>
    </w:p>
    <w:p>
      <w:pPr>
        <w:numPr>
          <w:numId w:val="5"/>
        </w:numPr>
      </w:pPr>
      <w:r>
        <w:t>腿被毁：支撑与推进下降，可能拖地或改变步态；仍连接心脏的其他运动模块继续工作。</w:t>
      </w:r>
    </w:p>
    <w:p>
      <w:pPr>
        <w:numPr>
          <w:numId w:val="6"/>
        </w:numPr>
      </w:pPr>
      <w:r>
        <w:t>翅膀被毁：升力不足，怪物下坠或无法继续飞行。</w:t>
      </w:r>
    </w:p>
    <w:p>
      <w:pPr>
        <w:numPr>
          <w:numId w:val="7"/>
        </w:numPr>
      </w:pPr>
      <w:r>
        <w:t>喷火头被毁：立刻停止喷火。角、爪、蹄被毁：失去对应接触几何与伤害系数。</w:t>
      </w:r>
    </w:p>
    <w:p>
      <w:pPr>
        <w:numPr>
          <w:numId w:val="8"/>
        </w:numPr>
      </w:pPr>
      <w:r>
        <w:t>身体被毁：与心脏失去通路的存活结构停止驱动并掉落；剩余连接保持，重新计算怪物质量与重心。</w:t>
      </w:r>
    </w:p>
    <w:p>
      <w:pPr>
        <w:pStyle w:val="Heading1"/>
      </w:pPr>
      <w:r>
        <w:t>10 自动推进与玩家操作</w:t>
      </w:r>
    </w:p>
    <w:p>
      <w:pPr>
        <w:numPr>
          <w:numId w:val="9"/>
        </w:numPr>
      </w:pPr>
      <w:r>
        <w:t>进攻阶段原则上不做实时动作操作；玩家的主要决策发生在养成与出战选择阶段。</w:t>
      </w:r>
    </w:p>
    <w:p>
      <w:pPr>
        <w:numPr>
          <w:numId w:val="10"/>
        </w:numPr>
      </w:pPr>
      <w:r>
        <w:t>怪物自动向前推进。角、爪、蹄与其他部位按实际接触结算冲撞或踩踏；喷火头按自身朝向和释放节奏攻击范围内未被遮挡的目标，不额外自动转向或穿墙。</w:t>
      </w:r>
    </w:p>
    <w:p>
      <w:pPr>
        <w:numPr>
          <w:numId w:val="11"/>
        </w:numPr>
      </w:pPr>
      <w:r>
        <w:t>后续若需要增加少量指令，应优先采用“目标优先级 / 释放一次能力”这类低频指令，不能让玩法转成动作游戏。</w:t>
      </w:r>
    </w:p>
    <w:p>
      <w:pPr>
        <w:pStyle w:val="Heading1"/>
      </w:pPr>
      <w:r>
        <w:t>11 成长反馈：每次从头推</w:t>
      </w:r>
    </w:p>
    <w:p>
      <w:pPr>
        <w:keepNext/>
      </w:pPr>
      <w:r>
        <w:t>每次进攻从起点重新开始并不等于重复观看同一段。随着怪物养成变强，前期区域的通过速度、破坏规模和受损程度都会显著变化。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w="2438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成长阶段</w:t>
            </w:r>
          </w:p>
        </w:tc>
        <w:tc>
          <w:tcPr>
            <w:tcW w:w="7200" w:type="dxa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  <w:ind w:left="0"/>
              <w:jc w:val="center"/>
            </w:pPr>
            <w:r>
              <w:rPr>
                <w:rFonts w:eastAsia="等线" w:ascii="Arial" w:cs="Arial" w:hAnsi="Arial"/>
                <w:b/>
                <w:color w:val="000000"/>
                <w:sz w:val="19"/>
              </w:rPr>
              <w:t>同一个乡村区域的体验</w:t>
            </w:r>
          </w:p>
        </w:tc>
      </w:tr>
      <w:tr>
        <w:trPr>
          <w:cantSplit/>
        </w:trPr>
        <w:tc>
          <w:tcPr>
            <w:tcW w:w="243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初期</w:t>
            </w:r>
          </w:p>
        </w:tc>
        <w:tc>
          <w:tcPr>
            <w:tcW w:w="7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可能在第一批投矛者和木屋前就被打死</w:t>
            </w:r>
          </w:p>
        </w:tc>
      </w:tr>
      <w:tr>
        <w:trPr>
          <w:cantSplit/>
        </w:trPr>
        <w:tc>
          <w:tcPr>
            <w:tcW w:w="243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中期</w:t>
            </w:r>
          </w:p>
        </w:tc>
        <w:tc>
          <w:tcPr>
            <w:tcW w:w="7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能撞塌木屋，但会在小镇火力前失去关键模块</w:t>
            </w:r>
          </w:p>
        </w:tc>
      </w:tr>
      <w:tr>
        <w:trPr>
          <w:cantSplit/>
        </w:trPr>
        <w:tc>
          <w:tcPr>
            <w:tcW w:w="2438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后期</w:t>
            </w:r>
          </w:p>
        </w:tc>
        <w:tc>
          <w:tcPr>
            <w:tcW w:w="7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  <w:ind w:left="0"/>
              <w:jc w:val="left"/>
            </w:pPr>
            <w:r>
              <w:rPr>
                <w:rFonts w:eastAsia="等线" w:ascii="Arial" w:cs="Arial" w:hAnsi="Arial"/>
                <w:b w:val="0"/>
                <w:color w:val="000000"/>
                <w:sz w:val="19"/>
              </w:rPr>
              <w:t>高速碾过乡村，房屋被连锁撞塌，几乎不构成威胁</w:t>
            </w:r>
          </w:p>
        </w:tc>
      </w:tr>
    </w:tbl>
    <w:p>
      <w:pPr>
        <w:pStyle w:val="Heading1"/>
      </w:pPr>
      <w:r>
        <w:t>12 胜负与进度</w:t>
      </w:r>
    </w:p>
    <w:p>
      <w:pPr>
        <w:numPr>
          <w:numId w:val="12"/>
        </w:numPr>
      </w:pPr>
      <w:r>
        <w:t>单次进攻失败：唯一心脏耐久归零立即结束；或连续4秒内心脏沿前进方向净位移不足0.4格，且未对实际阻路的目标造成耐久下降。正在有效拆障时继续战斗。</w:t>
      </w:r>
    </w:p>
    <w:p>
      <w:pPr/>
      <w:r>
        <w:t>停滞检查只看沿地图前进方向的净位移，来回晃动不算推进。拆障进展必须是实际阻路目标的耐久下降，空摆、仅接触或击中不阻路的人类不能延续计时。</w:t>
      </w:r>
    </w:p>
    <w:p>
      <w:pPr/>
      <w:r>
        <w:t>先处理本次移动与伤害，再检查心脏和停滞；心脏被毁立即优先判败。总地图长度、终局主结构的完整胜利检查及一次进攻时长保留待确认。</w:t>
      </w:r>
    </w:p>
    <w:p>
      <w:pPr>
        <w:numPr>
          <w:numId w:val="13"/>
        </w:numPr>
      </w:pPr>
      <w:r>
        <w:t>单次进攻成果：最远推进位置、摧毁建筑数量、击败防御单位等可以作为记录。</w:t>
      </w:r>
    </w:p>
    <w:p>
      <w:pPr>
        <w:numPr>
          <w:numId w:val="14"/>
        </w:numPr>
      </w:pPr>
      <w:r>
        <w:t>最终胜利目标：攻破公司 / 母公司核心建筑（具体终局包装待定）。</w:t>
      </w:r>
    </w:p>
    <w:p>
      <w:pPr>
        <w:numPr>
          <w:numId w:val="15"/>
        </w:numPr>
      </w:pPr>
      <w:r>
        <w:t>已记录在死灵之书中的怪物模板不会因为出战实例死亡而消失。</w:t>
      </w:r>
    </w:p>
    <w:p>
      <w:pPr>
        <w:pStyle w:val="Heading1"/>
        <w:keepNext/>
      </w:pPr>
      <w:r>
        <w:t>13 进攻 HUD / 信息展示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位置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展示内容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怪物整体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心脏状态、存活模块数、关键运动状态与推进进度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模块受损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裂纹、失效与脱落；必要时局部生命条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停滞状态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无前进也无拆障进展时给予临近失败提示；有效拆障时不警告停滞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区域进度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乡村、小镇、城市、公司或距离条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敌方单位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依靠外观与武器识别强度，不展示大量物理参数</w:t>
            </w:r>
          </w:p>
        </w:tc>
      </w:tr>
    </w:tbl>
    <w:p>
      <w:pPr>
        <w:pStyle w:val="Heading1"/>
        <w:keepNext/>
      </w:pPr>
      <w:r>
        <w:t>14 数值配置边界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  <w:shd w:fill="EAF0F6"/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配置范围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怪物模块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引用《怪物组件配置表_V0.2.xlsx》；频率、振幅、相位、扭矩、碰撞与喷火字段已具备初值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建筑结构件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外尺寸、位置、耐久、质量、摩擦、材料、支撑关系；不加入连接强度表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人类单位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固定初始位置、生命值、移动速度、武器伤害、射程与攻击间隔；本轮未定具体数值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坦克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位置、尺寸、生命值、质量、移动速度与武器参数；本轮未定具体数值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投射物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速度、命中伤害、冲量；质量视表现需要配置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本轮边界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 w:val="0"/>
              <w:spacing w:before="0" w:after="20" w:line="252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只同步策划文档，已有组件表保持原样；不在此轮生成建筑或人类配置表</w:t>
            </w:r>
          </w:p>
        </w:tc>
      </w:tr>
    </w:tbl>
    <w:p>
      <w:pPr>
        <w:pStyle w:val="Heading1"/>
      </w:pPr>
      <w:r>
        <w:t>15 仍需确认与后续调参</w:t>
      </w:r>
    </w:p>
    <w:p>
      <w:pPr>
        <w:numPr>
          <w:numId w:val="16"/>
        </w:numPr>
      </w:pPr>
      <w:r>
        <w:t>城市与公司区域总长度，以及一次完整进攻合理时长。</w:t>
      </w:r>
    </w:p>
    <w:p>
      <w:pPr>
        <w:numPr>
          <w:numId w:val="17"/>
        </w:numPr>
      </w:pPr>
      <w:r>
        <w:t>第一版已确定：房屋采用少量可破坏结构件，装饰不参与伤害。房屋具体耐久、质量、材料差异与最终尺寸仍待调整。</w:t>
      </w:r>
    </w:p>
    <w:p>
      <w:pPr>
        <w:numPr>
          <w:numId w:val="18"/>
        </w:numPr>
      </w:pPr>
      <w:r>
        <w:t>第一版攻击规则已明确：接触攻击按实际碰撞，喷火沿头的朝向、受遮挡；不增加复杂目标优先级指令。</w:t>
      </w:r>
    </w:p>
    <w:p>
      <w:pPr>
        <w:numPr>
          <w:numId w:val="19"/>
        </w:numPr>
      </w:pPr>
      <w:r>
        <w:t>坦克与大型防御单位的最终尺寸、移动方式、碰撞质量和武器数值仍待确认。</w:t>
      </w:r>
    </w:p>
    <w:p>
      <w:pPr>
        <w:numPr>
          <w:numId w:val="20"/>
        </w:numPr>
      </w:pPr>
      <w:r>
        <w:t>建议初值：倒塌的存活结构件可通过实际碰撞伤害怪物、人类和建筑；纯装饰碎片不造成伤害。不单独触发“一倒就全灭”的事件伤害。</w:t>
      </w:r>
    </w:p>
    <w:p>
      <w:pPr>
        <w:numPr>
          <w:numId w:val="21"/>
        </w:numPr>
      </w:pPr>
      <w:r>
        <w:t>接触伤害当前采用模块子案的能量阈值与线性换算；大质量、高速度极端组合的上限与平衡仍待验证。</w:t>
      </w:r>
    </w:p>
    <w:p>
      <w:pPr>
        <w:numPr>
          <w:numId w:val="22"/>
        </w:numPr>
      </w:pPr>
      <w:r>
        <w:t>当前按单怪进攻设计；多怪同时出战仍为后续扩展，不纳入第一版固定关卡。</w:t>
      </w:r>
    </w:p>
    <w:sectPr>
      <w:footerReference w:type="default" r:id="rId3"/>
      <w:headerReference w:type="default" r:id="rId5"/>
      <w:pgSz w:orient="portrait" w:h="16838" w:w="11906"/>
      <w:pgMar w:top="1077" w:bottom="1077" w:left="1134" w:right="1134" w:header="454" w:footer="454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6797">
    <w:lvl>
      <w:numFmt w:val="bullet"/>
      <w:suff w:val="tab"/>
      <w:lvlText w:val="•"/>
      <w:rPr>
        <w:color w:val="000000"/>
      </w:rPr>
    </w:lvl>
  </w:abstractNum>
  <w:abstractNum w:abstractNumId="686798">
    <w:lvl>
      <w:numFmt w:val="bullet"/>
      <w:suff w:val="tab"/>
      <w:lvlText w:val="•"/>
      <w:rPr>
        <w:color w:val="000000"/>
      </w:rPr>
    </w:lvl>
  </w:abstractNum>
  <w:abstractNum w:abstractNumId="686799">
    <w:lvl>
      <w:numFmt w:val="bullet"/>
      <w:suff w:val="tab"/>
      <w:lvlText w:val="•"/>
      <w:rPr>
        <w:color w:val="000000"/>
      </w:rPr>
    </w:lvl>
  </w:abstractNum>
  <w:abstractNum w:abstractNumId="686800">
    <w:lvl>
      <w:numFmt w:val="bullet"/>
      <w:suff w:val="tab"/>
      <w:lvlText w:val="•"/>
      <w:rPr>
        <w:color w:val="000000"/>
      </w:rPr>
    </w:lvl>
  </w:abstractNum>
  <w:abstractNum w:abstractNumId="686801">
    <w:lvl>
      <w:numFmt w:val="bullet"/>
      <w:suff w:val="tab"/>
      <w:lvlText w:val="•"/>
      <w:rPr>
        <w:color w:val="000000"/>
      </w:rPr>
    </w:lvl>
  </w:abstractNum>
  <w:abstractNum w:abstractNumId="686802">
    <w:lvl>
      <w:numFmt w:val="bullet"/>
      <w:suff w:val="tab"/>
      <w:lvlText w:val="•"/>
      <w:rPr>
        <w:color w:val="000000"/>
      </w:rPr>
    </w:lvl>
  </w:abstractNum>
  <w:abstractNum w:abstractNumId="686803">
    <w:lvl>
      <w:numFmt w:val="bullet"/>
      <w:suff w:val="tab"/>
      <w:lvlText w:val="•"/>
      <w:rPr>
        <w:color w:val="000000"/>
      </w:rPr>
    </w:lvl>
  </w:abstractNum>
  <w:abstractNum w:abstractNumId="686804">
    <w:lvl>
      <w:numFmt w:val="bullet"/>
      <w:suff w:val="tab"/>
      <w:lvlText w:val="•"/>
      <w:rPr>
        <w:color w:val="000000"/>
      </w:rPr>
    </w:lvl>
  </w:abstractNum>
  <w:abstractNum w:abstractNumId="686805">
    <w:lvl>
      <w:numFmt w:val="bullet"/>
      <w:suff w:val="tab"/>
      <w:lvlText w:val="•"/>
      <w:rPr>
        <w:color w:val="000000"/>
      </w:rPr>
    </w:lvl>
  </w:abstractNum>
  <w:abstractNum w:abstractNumId="686806">
    <w:lvl>
      <w:numFmt w:val="bullet"/>
      <w:suff w:val="tab"/>
      <w:lvlText w:val="•"/>
      <w:rPr>
        <w:color w:val="000000"/>
      </w:rPr>
    </w:lvl>
  </w:abstractNum>
  <w:abstractNum w:abstractNumId="686807">
    <w:lvl>
      <w:numFmt w:val="bullet"/>
      <w:suff w:val="tab"/>
      <w:lvlText w:val="•"/>
      <w:rPr>
        <w:color w:val="000000"/>
      </w:rPr>
    </w:lvl>
  </w:abstractNum>
  <w:abstractNum w:abstractNumId="686808">
    <w:lvl>
      <w:numFmt w:val="bullet"/>
      <w:suff w:val="tab"/>
      <w:lvlText w:val="•"/>
      <w:rPr>
        <w:color w:val="000000"/>
      </w:rPr>
    </w:lvl>
  </w:abstractNum>
  <w:abstractNum w:abstractNumId="686809">
    <w:lvl>
      <w:numFmt w:val="bullet"/>
      <w:suff w:val="tab"/>
      <w:lvlText w:val="•"/>
      <w:rPr>
        <w:color w:val="000000"/>
      </w:rPr>
    </w:lvl>
  </w:abstractNum>
  <w:abstractNum w:abstractNumId="686810">
    <w:lvl>
      <w:numFmt w:val="bullet"/>
      <w:suff w:val="tab"/>
      <w:lvlText w:val="•"/>
      <w:rPr>
        <w:color w:val="000000"/>
      </w:rPr>
    </w:lvl>
  </w:abstractNum>
  <w:abstractNum w:abstractNumId="686811">
    <w:lvl>
      <w:numFmt w:val="bullet"/>
      <w:suff w:val="tab"/>
      <w:lvlText w:val="•"/>
      <w:rPr>
        <w:color w:val="000000"/>
      </w:rPr>
    </w:lvl>
  </w:abstractNum>
  <w:abstractNum w:abstractNumId="686812">
    <w:lvl>
      <w:numFmt w:val="bullet"/>
      <w:suff w:val="tab"/>
      <w:lvlText w:val="•"/>
      <w:rPr>
        <w:color w:val="000000"/>
      </w:rPr>
    </w:lvl>
  </w:abstractNum>
  <w:abstractNum w:abstractNumId="686813">
    <w:lvl>
      <w:numFmt w:val="bullet"/>
      <w:suff w:val="tab"/>
      <w:lvlText w:val="•"/>
      <w:rPr>
        <w:color w:val="000000"/>
      </w:rPr>
    </w:lvl>
  </w:abstractNum>
  <w:abstractNum w:abstractNumId="686814">
    <w:lvl>
      <w:numFmt w:val="bullet"/>
      <w:suff w:val="tab"/>
      <w:lvlText w:val="•"/>
      <w:rPr>
        <w:color w:val="000000"/>
      </w:rPr>
    </w:lvl>
  </w:abstractNum>
  <w:abstractNum w:abstractNumId="686815">
    <w:lvl>
      <w:numFmt w:val="bullet"/>
      <w:suff w:val="tab"/>
      <w:lvlText w:val="•"/>
      <w:rPr>
        <w:color w:val="000000"/>
      </w:rPr>
    </w:lvl>
  </w:abstractNum>
  <w:abstractNum w:abstractNumId="686816">
    <w:lvl>
      <w:numFmt w:val="bullet"/>
      <w:suff w:val="tab"/>
      <w:lvlText w:val="•"/>
      <w:rPr>
        <w:color w:val="000000"/>
      </w:rPr>
    </w:lvl>
  </w:abstractNum>
  <w:abstractNum w:abstractNumId="686817">
    <w:lvl>
      <w:numFmt w:val="bullet"/>
      <w:suff w:val="tab"/>
      <w:lvlText w:val="•"/>
      <w:rPr>
        <w:color w:val="000000"/>
      </w:rPr>
    </w:lvl>
  </w:abstractNum>
  <w:abstractNum w:abstractNumId="686818">
    <w:lvl>
      <w:numFmt w:val="bullet"/>
      <w:suff w:val="tab"/>
      <w:lvlText w:val="•"/>
      <w:rPr>
        <w:color w:val="000000"/>
      </w:rPr>
    </w:lvl>
  </w:abstractNum>
  <w:num w:numId="1">
    <w:abstractNumId w:val="686797"/>
  </w:num>
  <w:num w:numId="2">
    <w:abstractNumId w:val="686798"/>
  </w:num>
  <w:num w:numId="3">
    <w:abstractNumId w:val="686799"/>
  </w:num>
  <w:num w:numId="4">
    <w:abstractNumId w:val="686800"/>
  </w:num>
  <w:num w:numId="5">
    <w:abstractNumId w:val="686801"/>
  </w:num>
  <w:num w:numId="6">
    <w:abstractNumId w:val="686802"/>
  </w:num>
  <w:num w:numId="7">
    <w:abstractNumId w:val="686803"/>
  </w:num>
  <w:num w:numId="8">
    <w:abstractNumId w:val="686804"/>
  </w:num>
  <w:num w:numId="9">
    <w:abstractNumId w:val="686805"/>
  </w:num>
  <w:num w:numId="10">
    <w:abstractNumId w:val="686806"/>
  </w:num>
  <w:num w:numId="11">
    <w:abstractNumId w:val="686807"/>
  </w:num>
  <w:num w:numId="12">
    <w:abstractNumId w:val="686808"/>
  </w:num>
  <w:num w:numId="13">
    <w:abstractNumId w:val="686809"/>
  </w:num>
  <w:num w:numId="14">
    <w:abstractNumId w:val="686810"/>
  </w:num>
  <w:num w:numId="15">
    <w:abstractNumId w:val="686811"/>
  </w:num>
  <w:num w:numId="16">
    <w:abstractNumId w:val="686812"/>
  </w:num>
  <w:num w:numId="17">
    <w:abstractNumId w:val="686813"/>
  </w:num>
  <w:num w:numId="18">
    <w:abstractNumId w:val="686814"/>
  </w:num>
  <w:num w:numId="19">
    <w:abstractNumId w:val="686815"/>
  </w:num>
  <w:num w:numId="20">
    <w:abstractNumId w:val="686816"/>
  </w:num>
  <w:num w:numId="21">
    <w:abstractNumId w:val="686817"/>
  </w:num>
  <w:num w:numId="22">
    <w:abstractNumId w:val="6868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sid w:val="00FC693F"/>
    <w:pPr>
      <w:keepNext w:val="0"/>
      <w:widowControl/>
      <w:spacing w:before="0" w:after="100" w:line="269" w:lineRule="auto"/>
    </w:pPr>
    <w:rPr>
      <w:rFonts w:ascii="Arial" w:hAnsi="Arial" w:eastAsia="等线"/>
      <w:b w:val="0"/>
      <w:i w:val="0"/>
      <w:color w:val="000000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69" w:lineRule="auto" w:before="0"/>
      <w:contextualSpacing/>
    </w:pPr>
    <w:rPr>
      <w:rFonts w:ascii="Arial" w:hAnsi="Arial" w:eastAsia="等线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00" w:line="269" w:lineRule="auto"/>
    </w:pPr>
    <w:rPr>
      <w:rFonts w:ascii="Arial" w:hAnsi="Arial" w:eastAsia="等线"/>
      <w:b w:val="0"/>
      <w:i w:val="0"/>
      <w:iCs/>
      <w:color w:val="000000"/>
      <w:spacing w:val="15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69" w:lineRule="auto"/>
      <w:outlineLvl w:val="0"/>
    </w:pPr>
    <w:rPr>
      <w:rFonts w:ascii="Arial" w:hAnsi="Arial" w:eastAsia="等线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00" w:line="269" w:lineRule="auto"/>
      <w:outlineLvl w:val="1"/>
    </w:pPr>
    <w:rPr>
      <w:rFonts w:ascii="Arial" w:hAnsi="Arial" w:eastAsia="等线"/>
      <w:b/>
      <w:bCs/>
      <w:i w:val="0"/>
      <w:color w:val="000000"/>
      <w:sz w:val="23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2026-10-02T06:56:21Z</dcterms:created>
  <dc:creator>Apache POI</dc:creator>
</cp:coreProperties>
</file>