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213"/>
        <w:gridCol w:w="5213"/>
      </w:tblGrid>
      <w:tr>
        <w:tc>
          <w:tcPr>
            <w:tcW w:type="dxa" w:w="2304"/>
            <w:tcBorders>
              <w:top w:val="nil"/>
              <w:left w:val="nil"/>
              <w:bottom w:val="nil"/>
              <w:right w:val="nil"/>
            </w:tcBorders>
          </w:tcPr>
          <w:p>
            <w:pPr>
              <w:jc w:val="center"/>
            </w:pPr>
            <w:r>
              <w:drawing>
                <wp:inline xmlns:a="http://schemas.openxmlformats.org/drawingml/2006/main" xmlns:pic="http://schemas.openxmlformats.org/drawingml/2006/picture">
                  <wp:extent cx="1325880" cy="652614"/>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325880" cy="652614"/>
                          </a:xfrm>
                          <a:prstGeom prst="rect"/>
                        </pic:spPr>
                      </pic:pic>
                    </a:graphicData>
                  </a:graphic>
                </wp:inline>
              </w:drawing>
            </w:r>
          </w:p>
        </w:tc>
        <w:tc>
          <w:tcPr>
            <w:tcW w:type="dxa" w:w="7632"/>
            <w:tcBorders>
              <w:top w:val="nil"/>
              <w:left w:val="nil"/>
              <w:bottom w:val="nil"/>
              <w:right w:val="nil"/>
            </w:tcBorders>
          </w:tcPr>
          <w:p>
            <w:pPr>
              <w:jc w:val="center"/>
            </w:pPr>
            <w:r>
              <w:rPr>
                <w:b/>
                <w:sz w:val="36"/>
              </w:rPr>
              <w:t xml:space="preserve">SIES Graduate School of Technology</w:t>
              <w:br/>
            </w:r>
            <w:r>
              <w:rPr>
                <w:b/>
                <w:sz w:val="25"/>
              </w:rPr>
              <w:t xml:space="preserve">Sri Chandrasekarendra Saraswati Vidyapuram</w:t>
              <w:br/>
            </w:r>
            <w:r>
              <w:rPr>
                <w:b/>
                <w:sz w:val="25"/>
              </w:rPr>
              <w:t xml:space="preserve">Sector V, Nerul, Navi Mumbai - 400706</w:t>
            </w:r>
          </w:p>
        </w:tc>
      </w:tr>
    </w:tbl>
    <w:p/>
    <w:tbl>
      <w:tblPr>
        <w:tblW w:type="auto" w:w="0"/>
        <w:jc w:val="center"/>
        <w:tblLook w:firstColumn="1" w:firstRow="1" w:lastColumn="0" w:lastRow="0" w:noHBand="0" w:noVBand="1" w:val="04A0"/>
      </w:tblPr>
      <w:tblGrid>
        <w:gridCol w:w="10426"/>
      </w:tblGrid>
      <w:tr>
        <w:tc>
          <w:tcPr>
            <w:tcW w:type="dxa" w:w="10426"/>
            <w:tcBorders>
              <w:top w:val="single" w:sz="12" w:color="8B3A3A"/>
              <w:left w:val="single" w:sz="12" w:color="8B3A3A"/>
              <w:bottom w:val="single" w:sz="12" w:color="8B3A3A"/>
              <w:right w:val="single" w:sz="12" w:color="8B3A3A"/>
            </w:tcBorders>
          </w:tcPr>
          <w:p>
            <w:pPr>
              <w:ind w:left="216"/>
            </w:pPr>
            <w:r>
              <w:rPr>
                <w:sz w:val="24"/>
              </w:rPr>
              <w:t xml:space="preserve">Name:</w:t>
            </w:r>
            <w:r>
              <w:rPr>
                <w:sz w:val="24"/>
              </w:rPr>
              <w:t xml:space="preserve"> Ashwin kumaar    Roll No: 123A8008</w:t>
              <w:br/>
              <w:t xml:space="preserve">Name: Aditya Jaiswal    Roll No: 123A8003</w:t>
              <w:br/>
              <w:t xml:space="preserve">Class/Div: BE-AIDS</w:t>
            </w:r>
            <w:r>
              <w:rPr>
                <w:sz w:val="24"/>
              </w:rPr>
              <w:t xml:space="preserve"/>
            </w:r>
          </w:p>
        </w:tc>
      </w:tr>
    </w:tbl>
    <w:p>
      <w:pPr>
        <w:spacing w:before="160"/>
        <w:jc w:val="center"/>
      </w:pPr>
      <w:r>
        <w:rPr>
          <w:b/>
          <w:sz w:val="28"/>
        </w:rPr>
        <w:t xml:space="preserve">MINI PROJECT</w:t>
      </w:r>
    </w:p>
    <w:p>
      <w:pPr>
        <w:jc w:val="center"/>
      </w:pPr>
      <w:r>
        <w:rPr>
          <w:b/>
          <w:sz w:val="28"/>
        </w:rPr>
        <w:t xml:space="preserve">Supply Chain Inventory Optimization Using Game Theory</w:t>
      </w:r>
    </w:p>
    <w:p>
      <w:pPr>
        <w:spacing w:before="80" w:after="40"/>
      </w:pPr>
      <w:r>
        <w:rPr>
          <w:b/>
          <w:sz w:val="24"/>
          <w:u w:val="single"/>
        </w:rPr>
        <w:t xml:space="preserve">AIM:</w:t>
      </w:r>
    </w:p>
    <w:p>
      <w:r>
        <w:t xml:space="preserve">To develop an interactive supply-chain simulation that compares fixed inventory decisions, repeated-game coordination and Bayesian decisions under uncertain demand.</w:t>
      </w:r>
    </w:p>
    <w:p>
      <w:pPr>
        <w:spacing w:before="80" w:after="40"/>
      </w:pPr>
      <w:r>
        <w:rPr>
          <w:b/>
          <w:sz w:val="24"/>
          <w:u w:val="single"/>
        </w:rPr>
        <w:t xml:space="preserve">PROBLEM STATEMENT:</w:t>
      </w:r>
    </w:p>
    <w:p>
      <w:r>
        <w:t xml:space="preserve">Manufacturers, suppliers and retailers must balance stock availability, operating costs and profit. Independent decisions can cause shortages, excess inventory and amplified orders. This project models these interactions and compares three decision policies on identical demand to study their financial and service trade-offs.</w:t>
      </w:r>
    </w:p>
    <w:p>
      <w:pPr>
        <w:spacing w:before="80" w:after="40"/>
      </w:pPr>
      <w:r>
        <w:rPr>
          <w:b/>
          <w:sz w:val="24"/>
          <w:u w:val="single"/>
        </w:rPr>
        <w:t xml:space="preserve">OBJECTIVES:</w:t>
      </w:r>
    </w:p>
    <w:p>
      <w:pPr>
        <w:spacing w:after="30"/>
        <w:ind w:left="374" w:hanging="230"/>
      </w:pPr>
      <w:r>
        <w:rPr>
          <w:b/>
        </w:rPr>
        <w:t xml:space="preserve">• </w:t>
      </w:r>
      <w:r>
        <w:t xml:space="preserve">Model manufacturer, supplier and retailer as independent players.</w:t>
      </w:r>
    </w:p>
    <w:p>
      <w:pPr>
        <w:spacing w:after="30"/>
        <w:ind w:left="374" w:hanging="230"/>
      </w:pPr>
      <w:r>
        <w:rPr>
          <w:b/>
        </w:rPr>
        <w:t xml:space="preserve">• </w:t>
      </w:r>
      <w:r>
        <w:t xml:space="preserve">Generate reproducible uncertain demand or accept manual demand observations.</w:t>
      </w:r>
    </w:p>
    <w:p>
      <w:pPr>
        <w:spacing w:after="30"/>
        <w:ind w:left="374" w:hanging="230"/>
      </w:pPr>
      <w:r>
        <w:rPr>
          <w:b/>
        </w:rPr>
        <w:t xml:space="preserve">• </w:t>
      </w:r>
      <w:r>
        <w:t xml:space="preserve">Validate costs, stock, capacity, rounds and probability inputs.</w:t>
      </w:r>
    </w:p>
    <w:p>
      <w:pPr>
        <w:spacing w:after="30"/>
        <w:ind w:left="374" w:hanging="230"/>
      </w:pPr>
      <w:r>
        <w:rPr>
          <w:b/>
        </w:rPr>
        <w:t xml:space="preserve">• </w:t>
      </w:r>
      <w:r>
        <w:t xml:space="preserve">Implement baseline, repeated-game and Bayesian decision policies.</w:t>
      </w:r>
    </w:p>
    <w:p>
      <w:pPr>
        <w:spacing w:after="30"/>
        <w:ind w:left="374" w:hanging="230"/>
      </w:pPr>
      <w:r>
        <w:rPr>
          <w:b/>
        </w:rPr>
        <w:t xml:space="preserve">• </w:t>
      </w:r>
      <w:r>
        <w:t xml:space="preserve">Measure player profit, fill rate, service level and inventory costs.</w:t>
      </w:r>
    </w:p>
    <w:p>
      <w:pPr>
        <w:spacing w:after="30"/>
        <w:ind w:left="374" w:hanging="230"/>
      </w:pPr>
      <w:r>
        <w:rPr>
          <w:b/>
        </w:rPr>
        <w:t xml:space="preserve">• </w:t>
      </w:r>
      <w:r>
        <w:t xml:space="preserve">Study cooperation, discounted payoff and Bayesian belief updates.</w:t>
      </w:r>
    </w:p>
    <w:p>
      <w:pPr>
        <w:spacing w:after="30"/>
        <w:ind w:left="374" w:hanging="230"/>
      </w:pPr>
      <w:r>
        <w:rPr>
          <w:b/>
        </w:rPr>
        <w:t xml:space="preserve">• </w:t>
      </w:r>
      <w:r>
        <w:t xml:space="preserve">Compare models on identical demand and inspect pure Nash equilibria.</w:t>
      </w:r>
    </w:p>
    <w:p>
      <w:pPr>
        <w:spacing w:after="30"/>
        <w:ind w:left="374" w:hanging="230"/>
      </w:pPr>
      <w:r>
        <w:rPr>
          <w:b/>
        </w:rPr>
        <w:t xml:space="preserve">• </w:t>
      </w:r>
      <w:r>
        <w:t xml:space="preserve">Provide dashboards, replay, saved history and downloadable results.</w:t>
      </w:r>
    </w:p>
    <w:p>
      <w:pPr>
        <w:spacing w:before="80" w:after="40"/>
      </w:pPr>
      <w:r>
        <w:rPr>
          <w:b/>
          <w:sz w:val="24"/>
          <w:u w:val="single"/>
        </w:rPr>
        <w:t xml:space="preserve">THEORY:</w:t>
      </w:r>
    </w:p>
    <w:p>
      <w:r>
        <w:rPr>
          <w:b/>
        </w:rPr>
        <w:t xml:space="preserve">Supply Chain Inventory Optimization</w:t>
      </w:r>
      <w:r>
        <w:t xml:space="preserve"> uses inventory accounting and game theory to study decisions made by a manufacturer, supplier and retailer over multiple rounds. Each player chooses production or replenishment before current customer demand is revealed.</w:t>
      </w:r>
    </w:p>
    <w:p>
      <w:r>
        <w:t xml:space="preserve">The application uses a React interface, a FastAPI simulation engine, NumPy calculations and SQLite history. It is an educational simulation with transparent decision rules; it does not train a machine-learning prediction model.</w:t>
      </w:r>
    </w:p>
    <w:p>
      <w:pPr>
        <w:spacing w:after="30"/>
        <w:ind w:left="374" w:hanging="230"/>
      </w:pPr>
      <w:r>
        <w:rPr>
          <w:b/>
        </w:rPr>
        <w:t xml:space="preserve">• </w:t>
      </w:r>
      <w:r>
        <w:t xml:space="preserve">Baseline replenishes stock to a fixed target when inventory reaches the reorder point.</w:t>
      </w:r>
    </w:p>
    <w:p>
      <w:pPr>
        <w:spacing w:after="30"/>
        <w:ind w:left="374" w:hanging="230"/>
      </w:pPr>
      <w:r>
        <w:rPr>
          <w:b/>
        </w:rPr>
        <w:t xml:space="preserve">• </w:t>
      </w:r>
      <w:r>
        <w:t xml:space="preserve">Repeated play uses cooperation or defection and memory of earlier outcomes.</w:t>
      </w:r>
    </w:p>
    <w:p>
      <w:pPr>
        <w:spacing w:after="30"/>
        <w:ind w:left="374" w:hanging="230"/>
      </w:pPr>
      <w:r>
        <w:rPr>
          <w:b/>
        </w:rPr>
        <w:t xml:space="preserve">• </w:t>
      </w:r>
      <w:r>
        <w:t xml:space="preserve">Bayesian play chooses the inventory action with the largest belief-weighted expected utility.</w:t>
      </w:r>
    </w:p>
    <w:p>
      <w:pPr>
        <w:spacing w:after="30"/>
        <w:ind w:left="374" w:hanging="230"/>
      </w:pPr>
      <w:r>
        <w:rPr>
          <w:b/>
        </w:rPr>
        <w:t xml:space="preserve">• </w:t>
      </w:r>
      <w:r>
        <w:t xml:space="preserve">Fill rate is fulfilled units divided by total demanded units.</w:t>
      </w:r>
    </w:p>
    <w:p>
      <w:pPr>
        <w:spacing w:after="30"/>
        <w:ind w:left="374" w:hanging="230"/>
      </w:pPr>
      <w:r>
        <w:rPr>
          <w:b/>
        </w:rPr>
        <w:t xml:space="preserve">• </w:t>
      </w:r>
      <w:r>
        <w:t xml:space="preserve">Service level is the fraction of rounds with no lost demand.</w:t>
      </w:r>
    </w:p>
    <w:p>
      <w:pPr>
        <w:spacing w:after="30"/>
        <w:ind w:left="374" w:hanging="230"/>
      </w:pPr>
      <w:r>
        <w:rPr>
          <w:b/>
        </w:rPr>
        <w:t xml:space="preserve">• </w:t>
      </w:r>
      <w:r>
        <w:t xml:space="preserve">Pure Nash equilibria are mutual best responses in a separate two-player payoff matrix.</w:t>
      </w:r>
    </w:p>
    <w:p>
      <w:pPr>
        <w:spacing w:before="80" w:after="40"/>
      </w:pPr>
      <w:r>
        <w:rPr>
          <w:b/>
          <w:sz w:val="24"/>
          <w:u w:val="single"/>
        </w:rPr>
        <w:t xml:space="preserve">SIMULATION DATA DESCRIPTION:</w:t>
      </w:r>
    </w:p>
    <w:tbl>
      <w:tblPr>
        <w:tblStyle w:val="TableGrid"/>
        <w:tblW w:type="auto" w:w="0"/>
        <w:jc w:val="center"/>
        <w:tblLook w:firstColumn="1" w:firstRow="1" w:lastColumn="0" w:lastRow="0" w:noHBand="0" w:noVBand="1" w:val="04A0"/>
      </w:tblPr>
      <w:tblGrid>
        <w:gridCol w:w="3475"/>
        <w:gridCol w:w="3475"/>
        <w:gridCol w:w="3475"/>
      </w:tblGrid>
      <w:tr>
        <w:tc>
          <w:tcPr>
            <w:tcW w:type="dxa" w:w="3475"/>
            <w:vAlign w:val="center"/>
          </w:tcPr>
          <w:p>
            <w:pPr>
              <w:spacing w:after="0"/>
            </w:pPr>
            <w:r>
              <w:rPr>
                <w:b/>
                <w:sz w:val="17"/>
              </w:rPr>
              <w:t xml:space="preserve">Attribute</w:t>
            </w:r>
          </w:p>
        </w:tc>
        <w:tc>
          <w:tcPr>
            <w:tcW w:type="dxa" w:w="3475"/>
            <w:vAlign w:val="center"/>
          </w:tcPr>
          <w:p>
            <w:pPr>
              <w:spacing w:after="0"/>
            </w:pPr>
            <w:r>
              <w:rPr>
                <w:b/>
                <w:sz w:val="17"/>
              </w:rPr>
              <w:t xml:space="preserve">Type</w:t>
            </w:r>
          </w:p>
        </w:tc>
        <w:tc>
          <w:tcPr>
            <w:tcW w:type="dxa" w:w="3475"/>
            <w:vAlign w:val="center"/>
          </w:tcPr>
          <w:p>
            <w:pPr>
              <w:spacing w:after="0"/>
            </w:pPr>
            <w:r>
              <w:rPr>
                <w:b/>
                <w:sz w:val="17"/>
              </w:rPr>
              <w:t xml:space="preserve">Description</w:t>
            </w:r>
          </w:p>
        </w:tc>
      </w:tr>
      <w:tr>
        <w:tc>
          <w:tcPr>
            <w:tcW w:type="dxa" w:w="3475"/>
            <w:vAlign w:val="center"/>
          </w:tcPr>
          <w:p>
            <w:pPr>
              <w:spacing w:after="0"/>
            </w:pPr>
            <w:r>
              <w:rPr>
                <w:sz w:val="17"/>
              </w:rPr>
              <w:t xml:space="preserve">rounds and seed</w:t>
            </w:r>
          </w:p>
        </w:tc>
        <w:tc>
          <w:tcPr>
            <w:tcW w:type="dxa" w:w="3475"/>
            <w:vAlign w:val="center"/>
          </w:tcPr>
          <w:p>
            <w:pPr>
              <w:spacing w:after="0"/>
            </w:pPr>
            <w:r>
              <w:rPr>
                <w:sz w:val="17"/>
              </w:rPr>
              <w:t xml:space="preserve">Integer</w:t>
            </w:r>
          </w:p>
        </w:tc>
        <w:tc>
          <w:tcPr>
            <w:tcW w:type="dxa" w:w="3475"/>
            <w:vAlign w:val="center"/>
          </w:tcPr>
          <w:p>
            <w:pPr>
              <w:spacing w:after="0"/>
            </w:pPr>
            <w:r>
              <w:rPr>
                <w:sz w:val="17"/>
              </w:rPr>
              <w:t xml:space="preserve">Horizon and reproducible random seed</w:t>
            </w:r>
          </w:p>
        </w:tc>
      </w:tr>
      <w:tr>
        <w:tc>
          <w:tcPr>
            <w:tcW w:type="dxa" w:w="3475"/>
            <w:vAlign w:val="center"/>
          </w:tcPr>
          <w:p>
            <w:pPr>
              <w:spacing w:after="0"/>
            </w:pPr>
            <w:r>
              <w:rPr>
                <w:sz w:val="17"/>
              </w:rPr>
              <w:t xml:space="preserve">game_type</w:t>
            </w:r>
          </w:p>
        </w:tc>
        <w:tc>
          <w:tcPr>
            <w:tcW w:type="dxa" w:w="3475"/>
            <w:vAlign w:val="center"/>
          </w:tcPr>
          <w:p>
            <w:pPr>
              <w:spacing w:after="0"/>
            </w:pPr>
            <w:r>
              <w:rPr>
                <w:sz w:val="17"/>
              </w:rPr>
              <w:t xml:space="preserve">Category</w:t>
            </w:r>
          </w:p>
        </w:tc>
        <w:tc>
          <w:tcPr>
            <w:tcW w:type="dxa" w:w="3475"/>
            <w:vAlign w:val="center"/>
          </w:tcPr>
          <w:p>
            <w:pPr>
              <w:spacing w:after="0"/>
            </w:pPr>
            <w:r>
              <w:rPr>
                <w:sz w:val="17"/>
              </w:rPr>
              <w:t xml:space="preserve">Baseline, repeated or Bayesian</w:t>
            </w:r>
          </w:p>
        </w:tc>
      </w:tr>
      <w:tr>
        <w:tc>
          <w:tcPr>
            <w:tcW w:type="dxa" w:w="3475"/>
            <w:vAlign w:val="center"/>
          </w:tcPr>
          <w:p>
            <w:pPr>
              <w:spacing w:after="0"/>
            </w:pPr>
            <w:r>
              <w:rPr>
                <w:sz w:val="17"/>
              </w:rPr>
              <w:t xml:space="preserve">strategy and mechanism</w:t>
            </w:r>
          </w:p>
        </w:tc>
        <w:tc>
          <w:tcPr>
            <w:tcW w:type="dxa" w:w="3475"/>
            <w:vAlign w:val="center"/>
          </w:tcPr>
          <w:p>
            <w:pPr>
              <w:spacing w:after="0"/>
            </w:pPr>
            <w:r>
              <w:rPr>
                <w:sz w:val="17"/>
              </w:rPr>
              <w:t xml:space="preserve">Category</w:t>
            </w:r>
          </w:p>
        </w:tc>
        <w:tc>
          <w:tcPr>
            <w:tcW w:type="dxa" w:w="3475"/>
            <w:vAlign w:val="center"/>
          </w:tcPr>
          <w:p>
            <w:pPr>
              <w:spacing w:after="0"/>
            </w:pPr>
            <w:r>
              <w:rPr>
                <w:sz w:val="17"/>
              </w:rPr>
              <w:t xml:space="preserve">Inventory profile and repeated policy</w:t>
            </w:r>
          </w:p>
        </w:tc>
      </w:tr>
      <w:tr>
        <w:tc>
          <w:tcPr>
            <w:tcW w:type="dxa" w:w="3475"/>
            <w:vAlign w:val="center"/>
          </w:tcPr>
          <w:p>
            <w:pPr>
              <w:spacing w:after="0"/>
            </w:pPr>
            <w:r>
              <w:rPr>
                <w:sz w:val="17"/>
              </w:rPr>
              <w:t xml:space="preserve">distribution and season</w:t>
            </w:r>
          </w:p>
        </w:tc>
        <w:tc>
          <w:tcPr>
            <w:tcW w:type="dxa" w:w="3475"/>
            <w:vAlign w:val="center"/>
          </w:tcPr>
          <w:p>
            <w:pPr>
              <w:spacing w:after="0"/>
            </w:pPr>
            <w:r>
              <w:rPr>
                <w:sz w:val="17"/>
              </w:rPr>
              <w:t xml:space="preserve">Category</w:t>
            </w:r>
          </w:p>
        </w:tc>
        <w:tc>
          <w:tcPr>
            <w:tcW w:type="dxa" w:w="3475"/>
            <w:vAlign w:val="center"/>
          </w:tcPr>
          <w:p>
            <w:pPr>
              <w:spacing w:after="0"/>
            </w:pPr>
            <w:r>
              <w:rPr>
                <w:sz w:val="17"/>
              </w:rPr>
              <w:t xml:space="preserve">Demand distribution and seasonal factor</w:t>
            </w:r>
          </w:p>
        </w:tc>
      </w:tr>
      <w:tr>
        <w:tc>
          <w:tcPr>
            <w:tcW w:type="dxa" w:w="3475"/>
            <w:vAlign w:val="center"/>
          </w:tcPr>
          <w:p>
            <w:pPr>
              <w:spacing w:after="0"/>
            </w:pPr>
            <w:r>
              <w:rPr>
                <w:sz w:val="17"/>
              </w:rPr>
              <w:t xml:space="preserve">demand_mean and demand_std</w:t>
            </w:r>
          </w:p>
        </w:tc>
        <w:tc>
          <w:tcPr>
            <w:tcW w:type="dxa" w:w="3475"/>
            <w:vAlign w:val="center"/>
          </w:tcPr>
          <w:p>
            <w:pPr>
              <w:spacing w:after="0"/>
            </w:pPr>
            <w:r>
              <w:rPr>
                <w:sz w:val="17"/>
              </w:rPr>
              <w:t xml:space="preserve">Numerical</w:t>
            </w:r>
          </w:p>
        </w:tc>
        <w:tc>
          <w:tcPr>
            <w:tcW w:type="dxa" w:w="3475"/>
            <w:vAlign w:val="center"/>
          </w:tcPr>
          <w:p>
            <w:pPr>
              <w:spacing w:after="0"/>
            </w:pPr>
            <w:r>
              <w:rPr>
                <w:sz w:val="17"/>
              </w:rPr>
              <w:t xml:space="preserve">Base demand mean and deviation</w:t>
            </w:r>
          </w:p>
        </w:tc>
      </w:tr>
      <w:tr>
        <w:tc>
          <w:tcPr>
            <w:tcW w:type="dxa" w:w="3475"/>
            <w:vAlign w:val="center"/>
          </w:tcPr>
          <w:p>
            <w:pPr>
              <w:spacing w:after="0"/>
            </w:pPr>
            <w:r>
              <w:rPr>
                <w:sz w:val="17"/>
              </w:rPr>
              <w:t xml:space="preserve">priors</w:t>
            </w:r>
          </w:p>
        </w:tc>
        <w:tc>
          <w:tcPr>
            <w:tcW w:type="dxa" w:w="3475"/>
            <w:vAlign w:val="center"/>
          </w:tcPr>
          <w:p>
            <w:pPr>
              <w:spacing w:after="0"/>
            </w:pPr>
            <w:r>
              <w:rPr>
                <w:sz w:val="17"/>
              </w:rPr>
              <w:t xml:space="preserve">Probabilities</w:t>
            </w:r>
          </w:p>
        </w:tc>
        <w:tc>
          <w:tcPr>
            <w:tcW w:type="dxa" w:w="3475"/>
            <w:vAlign w:val="center"/>
          </w:tcPr>
          <w:p>
            <w:pPr>
              <w:spacing w:after="0"/>
            </w:pPr>
            <w:r>
              <w:rPr>
                <w:sz w:val="17"/>
              </w:rPr>
              <w:t xml:space="preserve">LOW, MEDIUM and HIGH beliefs</w:t>
            </w:r>
          </w:p>
        </w:tc>
      </w:tr>
      <w:tr>
        <w:tc>
          <w:tcPr>
            <w:tcW w:type="dxa" w:w="3475"/>
            <w:vAlign w:val="center"/>
          </w:tcPr>
          <w:p>
            <w:pPr>
              <w:spacing w:after="0"/>
            </w:pPr>
            <w:r>
              <w:rPr>
                <w:sz w:val="17"/>
              </w:rPr>
              <w:t xml:space="preserve">capacity and storage_capacity</w:t>
            </w:r>
          </w:p>
        </w:tc>
        <w:tc>
          <w:tcPr>
            <w:tcW w:type="dxa" w:w="3475"/>
            <w:vAlign w:val="center"/>
          </w:tcPr>
          <w:p>
            <w:pPr>
              <w:spacing w:after="0"/>
            </w:pPr>
            <w:r>
              <w:rPr>
                <w:sz w:val="17"/>
              </w:rPr>
              <w:t xml:space="preserve">Integer</w:t>
            </w:r>
          </w:p>
        </w:tc>
        <w:tc>
          <w:tcPr>
            <w:tcW w:type="dxa" w:w="3475"/>
            <w:vAlign w:val="center"/>
          </w:tcPr>
          <w:p>
            <w:pPr>
              <w:spacing w:after="0"/>
            </w:pPr>
            <w:r>
              <w:rPr>
                <w:sz w:val="17"/>
              </w:rPr>
              <w:t xml:space="preserve">Production and supplier storage limits</w:t>
            </w:r>
          </w:p>
        </w:tc>
      </w:tr>
      <w:tr>
        <w:tc>
          <w:tcPr>
            <w:tcW w:type="dxa" w:w="3475"/>
            <w:vAlign w:val="center"/>
          </w:tcPr>
          <w:p>
            <w:pPr>
              <w:spacing w:after="0"/>
            </w:pPr>
            <w:r>
              <w:rPr>
                <w:sz w:val="17"/>
              </w:rPr>
              <w:t xml:space="preserve">initial inventories</w:t>
            </w:r>
          </w:p>
        </w:tc>
        <w:tc>
          <w:tcPr>
            <w:tcW w:type="dxa" w:w="3475"/>
            <w:vAlign w:val="center"/>
          </w:tcPr>
          <w:p>
            <w:pPr>
              <w:spacing w:after="0"/>
            </w:pPr>
            <w:r>
              <w:rPr>
                <w:sz w:val="17"/>
              </w:rPr>
              <w:t xml:space="preserve">Integer</w:t>
            </w:r>
          </w:p>
        </w:tc>
        <w:tc>
          <w:tcPr>
            <w:tcW w:type="dxa" w:w="3475"/>
            <w:vAlign w:val="center"/>
          </w:tcPr>
          <w:p>
            <w:pPr>
              <w:spacing w:after="0"/>
            </w:pPr>
            <w:r>
              <w:rPr>
                <w:sz w:val="17"/>
              </w:rPr>
              <w:t xml:space="preserve">Opening stock at each stage</w:t>
            </w:r>
          </w:p>
        </w:tc>
      </w:tr>
      <w:tr>
        <w:tc>
          <w:tcPr>
            <w:tcW w:type="dxa" w:w="3475"/>
            <w:vAlign w:val="center"/>
          </w:tcPr>
          <w:p>
            <w:pPr>
              <w:spacing w:after="0"/>
            </w:pPr>
            <w:r>
              <w:rPr>
                <w:sz w:val="17"/>
              </w:rPr>
              <w:t xml:space="preserve">prices and production_cost</w:t>
            </w:r>
          </w:p>
        </w:tc>
        <w:tc>
          <w:tcPr>
            <w:tcW w:type="dxa" w:w="3475"/>
            <w:vAlign w:val="center"/>
          </w:tcPr>
          <w:p>
            <w:pPr>
              <w:spacing w:after="0"/>
            </w:pPr>
            <w:r>
              <w:rPr>
                <w:sz w:val="17"/>
              </w:rPr>
              <w:t xml:space="preserve">Numerical</w:t>
            </w:r>
          </w:p>
        </w:tc>
        <w:tc>
          <w:tcPr>
            <w:tcW w:type="dxa" w:w="3475"/>
            <w:vAlign w:val="center"/>
          </w:tcPr>
          <w:p>
            <w:pPr>
              <w:spacing w:after="0"/>
            </w:pPr>
            <w:r>
              <w:rPr>
                <w:sz w:val="17"/>
              </w:rPr>
              <w:t xml:space="preserve">Unit revenues and production expense</w:t>
            </w:r>
          </w:p>
        </w:tc>
      </w:tr>
      <w:tr>
        <w:tc>
          <w:tcPr>
            <w:tcW w:type="dxa" w:w="3475"/>
            <w:vAlign w:val="center"/>
          </w:tcPr>
          <w:p>
            <w:pPr>
              <w:spacing w:after="0"/>
            </w:pPr>
            <w:r>
              <w:rPr>
                <w:sz w:val="17"/>
              </w:rPr>
              <w:t xml:space="preserve">holding and shortage costs</w:t>
            </w:r>
          </w:p>
        </w:tc>
        <w:tc>
          <w:tcPr>
            <w:tcW w:type="dxa" w:w="3475"/>
            <w:vAlign w:val="center"/>
          </w:tcPr>
          <w:p>
            <w:pPr>
              <w:spacing w:after="0"/>
            </w:pPr>
            <w:r>
              <w:rPr>
                <w:sz w:val="17"/>
              </w:rPr>
              <w:t xml:space="preserve">Numerical</w:t>
            </w:r>
          </w:p>
        </w:tc>
        <w:tc>
          <w:tcPr>
            <w:tcW w:type="dxa" w:w="3475"/>
            <w:vAlign w:val="center"/>
          </w:tcPr>
          <w:p>
            <w:pPr>
              <w:spacing w:after="0"/>
            </w:pPr>
            <w:r>
              <w:rPr>
                <w:sz w:val="17"/>
              </w:rPr>
              <w:t xml:space="preserve">Remaining-stock and unmet-demand costs</w:t>
            </w:r>
          </w:p>
        </w:tc>
      </w:tr>
      <w:tr>
        <w:tc>
          <w:tcPr>
            <w:tcW w:type="dxa" w:w="3475"/>
            <w:vAlign w:val="center"/>
          </w:tcPr>
          <w:p>
            <w:pPr>
              <w:spacing w:after="0"/>
            </w:pPr>
            <w:r>
              <w:rPr>
                <w:sz w:val="17"/>
              </w:rPr>
              <w:t xml:space="preserve">ordering and transport costs</w:t>
            </w:r>
          </w:p>
        </w:tc>
        <w:tc>
          <w:tcPr>
            <w:tcW w:type="dxa" w:w="3475"/>
            <w:vAlign w:val="center"/>
          </w:tcPr>
          <w:p>
            <w:pPr>
              <w:spacing w:after="0"/>
            </w:pPr>
            <w:r>
              <w:rPr>
                <w:sz w:val="17"/>
              </w:rPr>
              <w:t xml:space="preserve">Numerical</w:t>
            </w:r>
          </w:p>
        </w:tc>
        <w:tc>
          <w:tcPr>
            <w:tcW w:type="dxa" w:w="3475"/>
            <w:vAlign w:val="center"/>
          </w:tcPr>
          <w:p>
            <w:pPr>
              <w:spacing w:after="0"/>
            </w:pPr>
            <w:r>
              <w:rPr>
                <w:sz w:val="17"/>
              </w:rPr>
              <w:t xml:space="preserve">Fixed received-order and unit shipment costs</w:t>
            </w:r>
          </w:p>
        </w:tc>
      </w:tr>
      <w:tr>
        <w:tc>
          <w:tcPr>
            <w:tcW w:type="dxa" w:w="3475"/>
            <w:vAlign w:val="center"/>
          </w:tcPr>
          <w:p>
            <w:pPr>
              <w:spacing w:after="0"/>
            </w:pPr>
            <w:r>
              <w:rPr>
                <w:sz w:val="17"/>
              </w:rPr>
              <w:t xml:space="preserve">reorder_point and safety_stock</w:t>
            </w:r>
          </w:p>
        </w:tc>
        <w:tc>
          <w:tcPr>
            <w:tcW w:type="dxa" w:w="3475"/>
            <w:vAlign w:val="center"/>
          </w:tcPr>
          <w:p>
            <w:pPr>
              <w:spacing w:after="0"/>
            </w:pPr>
            <w:r>
              <w:rPr>
                <w:sz w:val="17"/>
              </w:rPr>
              <w:t xml:space="preserve">Integer</w:t>
            </w:r>
          </w:p>
        </w:tc>
        <w:tc>
          <w:tcPr>
            <w:tcW w:type="dxa" w:w="3475"/>
            <w:vAlign w:val="center"/>
          </w:tcPr>
          <w:p>
            <w:pPr>
              <w:spacing w:after="0"/>
            </w:pPr>
            <w:r>
              <w:rPr>
                <w:sz w:val="17"/>
              </w:rPr>
              <w:t xml:space="preserve">Replenishment trigger and stock buffer</w:t>
            </w:r>
          </w:p>
        </w:tc>
      </w:tr>
      <w:tr>
        <w:tc>
          <w:tcPr>
            <w:tcW w:type="dxa" w:w="3475"/>
            <w:vAlign w:val="center"/>
          </w:tcPr>
          <w:p>
            <w:pPr>
              <w:spacing w:after="0"/>
            </w:pPr>
            <w:r>
              <w:rPr>
                <w:sz w:val="17"/>
              </w:rPr>
              <w:t xml:space="preserve">manual_demand</w:t>
            </w:r>
          </w:p>
        </w:tc>
        <w:tc>
          <w:tcPr>
            <w:tcW w:type="dxa" w:w="3475"/>
            <w:vAlign w:val="center"/>
          </w:tcPr>
          <w:p>
            <w:pPr>
              <w:spacing w:after="0"/>
            </w:pPr>
            <w:r>
              <w:rPr>
                <w:sz w:val="17"/>
              </w:rPr>
              <w:t xml:space="preserve">Integer sequence</w:t>
            </w:r>
          </w:p>
        </w:tc>
        <w:tc>
          <w:tcPr>
            <w:tcW w:type="dxa" w:w="3475"/>
            <w:vAlign w:val="center"/>
          </w:tcPr>
          <w:p>
            <w:pPr>
              <w:spacing w:after="0"/>
            </w:pPr>
            <w:r>
              <w:rPr>
                <w:sz w:val="17"/>
              </w:rPr>
              <w:t xml:space="preserve">Optional observed demand for each round</w:t>
            </w:r>
          </w:p>
        </w:tc>
      </w:tr>
    </w:tbl>
    <w:p>
      <w:r>
        <w:br w:type="page"/>
      </w:r>
    </w:p>
    <w:p>
      <w:pPr>
        <w:spacing w:before="80" w:after="40"/>
      </w:pPr>
      <w:r>
        <w:rPr>
          <w:b/>
          <w:sz w:val="24"/>
          <w:u w:val="single"/>
        </w:rPr>
        <w:t xml:space="preserve">INPUT VALIDATION AND DATA GENERATION:</w:t>
      </w:r>
    </w:p>
    <w:p>
      <w:r>
        <w:t xml:space="preserve">Demand is generated using a seeded random number generator, so a configuration can be reproduced. LOW, MEDIUM and HIGH regimes use 0.65, 1.00 and 1.35 times the base mean. Normal, Uniform and Poisson distributions are supported. A regime persists with probability 0.8; otherwise it is drawn from the base prior. The same trajectory is used for every policy comparison.</w:t>
      </w:r>
    </w:p>
    <w:p>
      <w:pPr>
        <w:spacing w:after="30"/>
        <w:ind w:left="374" w:hanging="230"/>
      </w:pPr>
      <w:r>
        <w:rPr>
          <w:b/>
        </w:rPr>
        <w:t xml:space="preserve">• </w:t>
      </w:r>
      <w:r>
        <w:t xml:space="preserve">Default demonstration: 30 rounds with seed 42; allowed range is 1 to 100 rounds.</w:t>
      </w:r>
    </w:p>
    <w:p>
      <w:pPr>
        <w:spacing w:after="30"/>
        <w:ind w:left="374" w:hanging="230"/>
      </w:pPr>
      <w:r>
        <w:rPr>
          <w:b/>
        </w:rPr>
        <w:t xml:space="preserve">• </w:t>
      </w:r>
      <w:r>
        <w:t xml:space="preserve">Base demand mean: 100 units; deviation: 20 units for Normal demand.</w:t>
      </w:r>
    </w:p>
    <w:p>
      <w:pPr>
        <w:spacing w:after="30"/>
        <w:ind w:left="374" w:hanging="230"/>
      </w:pPr>
      <w:r>
        <w:rPr>
          <w:b/>
        </w:rPr>
        <w:t xml:space="preserve">• </w:t>
      </w:r>
      <w:r>
        <w:t xml:space="preserve">Initial LOW, MEDIUM and HIGH probabilities: 0.25, 0.50 and 0.25.</w:t>
      </w:r>
    </w:p>
    <w:p>
      <w:pPr>
        <w:spacing w:after="30"/>
        <w:ind w:left="374" w:hanging="230"/>
      </w:pPr>
      <w:r>
        <w:rPr>
          <w:b/>
        </w:rPr>
        <w:t xml:space="preserve">• </w:t>
      </w:r>
      <w:r>
        <w:t xml:space="preserve">Negative values, nonfinite inputs and invalid probability sums are rejected.</w:t>
      </w:r>
    </w:p>
    <w:p>
      <w:pPr>
        <w:spacing w:after="30"/>
        <w:ind w:left="374" w:hanging="230"/>
      </w:pPr>
      <w:r>
        <w:rPr>
          <w:b/>
        </w:rPr>
        <w:t xml:space="preserve">• </w:t>
      </w:r>
      <w:r>
        <w:t xml:space="preserve">Manual demand must contain one nonnegative integer for every round.</w:t>
      </w:r>
    </w:p>
    <w:p>
      <w:pPr>
        <w:spacing w:after="30"/>
        <w:ind w:left="374" w:hanging="230"/>
      </w:pPr>
      <w:r>
        <w:rPr>
          <w:b/>
        </w:rPr>
        <w:t xml:space="preserve">• </w:t>
      </w:r>
      <w:r>
        <w:t xml:space="preserve">No train-test split or missing-value imputation is required for this simulation.</w:t>
      </w:r>
    </w:p>
    <w:p>
      <w:pPr>
        <w:spacing w:before="80" w:after="40"/>
      </w:pPr>
      <w:r>
        <w:rPr>
          <w:b/>
          <w:sz w:val="24"/>
          <w:u w:val="single"/>
        </w:rPr>
        <w:t xml:space="preserve">EXPLORATORY SIMULATION ANALYSIS:</w:t>
      </w:r>
    </w:p>
    <w:p>
      <w:r>
        <w:drawing>
          <wp:inline xmlns:a="http://schemas.openxmlformats.org/drawingml/2006/main" xmlns:pic="http://schemas.openxmlformats.org/drawingml/2006/picture">
            <wp:extent cx="6035040" cy="3243834"/>
            <wp:docPr id="2" name="Picture 2" descr="Simulation results for the default 30-round configuration with seed 42"/>
            <wp:cNvGraphicFramePr>
              <a:graphicFrameLocks noChangeAspect="1"/>
            </wp:cNvGraphicFramePr>
            <a:graphic>
              <a:graphicData uri="http://schemas.openxmlformats.org/drawingml/2006/picture">
                <pic:pic>
                  <pic:nvPicPr>
                    <pic:cNvPr id="0" name="avg_yield_by_crop.png"/>
                    <pic:cNvPicPr/>
                  </pic:nvPicPr>
                  <pic:blipFill>
                    <a:blip r:embed="rId10"/>
                    <a:stretch>
                      <a:fillRect/>
                    </a:stretch>
                  </pic:blipFill>
                  <pic:spPr>
                    <a:xfrm>
                      <a:off x="0" y="0"/>
                      <a:ext cx="6035040" cy="3243834"/>
                    </a:xfrm>
                    <a:prstGeom prst="rect"/>
                  </pic:spPr>
                </pic:pic>
              </a:graphicData>
            </a:graphic>
          </wp:inline>
        </w:drawing>
      </w:r>
    </w:p>
    <w:p>
      <w:pPr>
        <w:spacing w:after="80"/>
        <w:jc w:val="center"/>
      </w:pPr>
      <w:r>
        <w:rPr>
          <w:i/>
          <w:sz w:val="18"/>
        </w:rPr>
        <w:t xml:space="preserve">Figure 1: Total demand, fulfilled demand and lost demand by model</w:t>
      </w:r>
    </w:p>
    <w:p>
      <w:r>
        <w:t xml:space="preserve">The default 30-round comparison produces total demand of 3,861 units for each model. Repeated play fulfills 3,721 units, compared with 3,638 for baseline and 3,420 for Bayesian decisions. These are outcomes for seed 42, not guaranteed rankings.</w:t>
      </w:r>
    </w:p>
    <w:tbl>
      <w:tblPr>
        <w:tblStyle w:val="TableGrid"/>
        <w:tblW w:type="auto" w:w="0"/>
        <w:jc w:val="center"/>
        <w:tblLook w:firstColumn="1" w:firstRow="1" w:lastColumn="0" w:lastRow="0" w:noHBand="0" w:noVBand="1" w:val="04A0"/>
      </w:tblPr>
      <w:tblGrid>
        <w:gridCol w:w="5213"/>
        <w:gridCol w:w="5213"/>
      </w:tblGrid>
      <w:tr>
        <w:tc>
          <w:tcPr>
            <w:tcW w:type="dxa" w:w="5213"/>
          </w:tcPr>
          <w:p>
            <w:pPr>
              <w:spacing w:after="0"/>
            </w:pPr>
            <w:r>
              <w:rPr>
                <w:b/>
                <w:sz w:val="18"/>
              </w:rPr>
              <w:t xml:space="preserve">Model</w:t>
            </w:r>
          </w:p>
        </w:tc>
        <w:tc>
          <w:tcPr>
            <w:tcW w:type="dxa" w:w="5213"/>
          </w:tcPr>
          <w:p>
            <w:pPr>
              <w:spacing w:after="0"/>
            </w:pPr>
            <w:r>
              <w:rPr>
                <w:b/>
                <w:sz w:val="18"/>
              </w:rPr>
              <w:t xml:space="preserve">Fulfilled units / total demand</w:t>
            </w:r>
          </w:p>
        </w:tc>
      </w:tr>
      <w:tr>
        <w:tc>
          <w:tcPr>
            <w:tcW w:type="dxa" w:w="5213"/>
          </w:tcPr>
          <w:p>
            <w:pPr>
              <w:spacing w:after="0"/>
            </w:pPr>
            <w:r>
              <w:rPr>
                <w:sz w:val="18"/>
              </w:rPr>
              <w:t xml:space="preserve">Baseline</w:t>
            </w:r>
          </w:p>
        </w:tc>
        <w:tc>
          <w:tcPr>
            <w:tcW w:type="dxa" w:w="5213"/>
          </w:tcPr>
          <w:p>
            <w:pPr>
              <w:spacing w:after="0"/>
            </w:pPr>
            <w:r>
              <w:rPr>
                <w:sz w:val="18"/>
              </w:rPr>
              <w:t xml:space="preserve">3638 / 3861</w:t>
            </w:r>
          </w:p>
        </w:tc>
      </w:tr>
      <w:tr>
        <w:tc>
          <w:tcPr>
            <w:tcW w:type="dxa" w:w="5213"/>
          </w:tcPr>
          <w:p>
            <w:pPr>
              <w:spacing w:after="0"/>
            </w:pPr>
            <w:r>
              <w:rPr>
                <w:sz w:val="18"/>
              </w:rPr>
              <w:t xml:space="preserve">Repeated</w:t>
            </w:r>
          </w:p>
        </w:tc>
        <w:tc>
          <w:tcPr>
            <w:tcW w:type="dxa" w:w="5213"/>
          </w:tcPr>
          <w:p>
            <w:pPr>
              <w:spacing w:after="0"/>
            </w:pPr>
            <w:r>
              <w:rPr>
                <w:sz w:val="18"/>
              </w:rPr>
              <w:t xml:space="preserve">3721 / 3861</w:t>
            </w:r>
          </w:p>
        </w:tc>
      </w:tr>
      <w:tr>
        <w:tc>
          <w:tcPr>
            <w:tcW w:type="dxa" w:w="5213"/>
          </w:tcPr>
          <w:p>
            <w:pPr>
              <w:spacing w:after="0"/>
            </w:pPr>
            <w:r>
              <w:rPr>
                <w:sz w:val="18"/>
              </w:rPr>
              <w:t xml:space="preserve">Bayesian</w:t>
            </w:r>
          </w:p>
        </w:tc>
        <w:tc>
          <w:tcPr>
            <w:tcW w:type="dxa" w:w="5213"/>
          </w:tcPr>
          <w:p>
            <w:pPr>
              <w:spacing w:after="0"/>
            </w:pPr>
            <w:r>
              <w:rPr>
                <w:sz w:val="18"/>
              </w:rPr>
              <w:t xml:space="preserve">3420 / 3861</w:t>
            </w:r>
          </w:p>
        </w:tc>
      </w:tr>
    </w:tbl>
    <w:p>
      <w:r>
        <w:drawing>
          <wp:inline xmlns:a="http://schemas.openxmlformats.org/drawingml/2006/main" xmlns:pic="http://schemas.openxmlformats.org/drawingml/2006/picture">
            <wp:extent cx="6035040" cy="3319272"/>
            <wp:docPr id="3" name="Picture 3" descr="Simulation results for the default 30-round configuration with seed 42"/>
            <wp:cNvGraphicFramePr>
              <a:graphicFrameLocks noChangeAspect="1"/>
            </wp:cNvGraphicFramePr>
            <a:graphic>
              <a:graphicData uri="http://schemas.openxmlformats.org/drawingml/2006/picture">
                <pic:pic>
                  <pic:nvPicPr>
                    <pic:cNvPr id="0" name="rainfall_vs_yield.png"/>
                    <pic:cNvPicPr/>
                  </pic:nvPicPr>
                  <pic:blipFill>
                    <a:blip r:embed="rId11"/>
                    <a:stretch>
                      <a:fillRect/>
                    </a:stretch>
                  </pic:blipFill>
                  <pic:spPr>
                    <a:xfrm>
                      <a:off x="0" y="0"/>
                      <a:ext cx="6035040" cy="3319272"/>
                    </a:xfrm>
                    <a:prstGeom prst="rect"/>
                  </pic:spPr>
                </pic:pic>
              </a:graphicData>
            </a:graphic>
          </wp:inline>
        </w:drawing>
      </w:r>
    </w:p>
    <w:p>
      <w:pPr>
        <w:spacing w:after="80"/>
        <w:jc w:val="center"/>
      </w:pPr>
      <w:r>
        <w:rPr>
          <w:i/>
          <w:sz w:val="18"/>
        </w:rPr>
        <w:t xml:space="preserve">Figure 2: Customer demand and fulfilled units in the repeated-game run</w:t>
      </w:r>
    </w:p>
    <w:p>
      <w:pPr>
        <w:spacing w:before="80" w:after="40"/>
      </w:pPr>
      <w:r>
        <w:rPr>
          <w:b/>
          <w:sz w:val="24"/>
          <w:u w:val="single"/>
        </w:rPr>
        <w:t xml:space="preserve">METHODOLOGY:</w:t>
      </w:r>
    </w:p>
    <w:p>
      <w:pPr>
        <w:spacing w:after="40"/>
      </w:pPr>
      <w:r>
        <w:rPr>
          <w:b/>
        </w:rPr>
        <w:t xml:space="preserve">1. Configure:</w:t>
      </w:r>
      <w:r>
        <w:t xml:space="preserve"> Choose product, costs, initial inventories, demand, capacity and policy.</w:t>
      </w:r>
    </w:p>
    <w:p>
      <w:pPr>
        <w:spacing w:after="40"/>
      </w:pPr>
      <w:r>
        <w:rPr>
          <w:b/>
        </w:rPr>
        <w:t xml:space="preserve">2. Generate:</w:t>
      </w:r>
      <w:r>
        <w:t xml:space="preserve"> Build a seeded demand trajectory; hide current demand from all decisions.</w:t>
      </w:r>
    </w:p>
    <w:p>
      <w:pPr>
        <w:spacing w:after="40"/>
      </w:pPr>
      <w:r>
        <w:rPr>
          <w:b/>
        </w:rPr>
        <w:t xml:space="preserve">3. Decide:</w:t>
      </w:r>
      <w:r>
        <w:t xml:space="preserve"> Retailer orders, supplier orders and manufacturer chooses production.</w:t>
      </w:r>
    </w:p>
    <w:p>
      <w:pPr>
        <w:spacing w:after="40"/>
      </w:pPr>
      <w:r>
        <w:rPr>
          <w:b/>
        </w:rPr>
        <w:t xml:space="preserve">4. Transfer:</w:t>
      </w:r>
      <w:r>
        <w:t xml:space="preserve"> Bound production and shipments by capacity, stock and storage space.</w:t>
      </w:r>
    </w:p>
    <w:p>
      <w:pPr>
        <w:spacing w:after="40"/>
      </w:pPr>
      <w:r>
        <w:rPr>
          <w:b/>
        </w:rPr>
        <w:t xml:space="preserve">5. Account:</w:t>
      </w:r>
      <w:r>
        <w:t xml:space="preserve"> Reveal demand, sell available units and record stock, costs and profit.</w:t>
      </w:r>
    </w:p>
    <w:p>
      <w:pPr>
        <w:spacing w:after="40"/>
      </w:pPr>
      <w:r>
        <w:rPr>
          <w:b/>
        </w:rPr>
        <w:t xml:space="preserve">6. Learn:</w:t>
      </w:r>
      <w:r>
        <w:t xml:space="preserve"> Update player memory and forecasts; Bayesian agents update beliefs.</w:t>
      </w:r>
    </w:p>
    <w:p>
      <w:pPr>
        <w:spacing w:after="40"/>
      </w:pPr>
      <w:r>
        <w:rPr>
          <w:b/>
        </w:rPr>
        <w:t xml:space="preserve">7. Compare:</w:t>
      </w:r>
      <w:r>
        <w:t xml:space="preserve"> Display results and repeat all three models using the same seed.</w:t>
      </w:r>
    </w:p>
    <w:p>
      <w:r>
        <w:br w:type="page"/>
      </w:r>
    </w:p>
    <w:p>
      <w:pPr>
        <w:spacing w:before="80" w:after="40"/>
      </w:pPr>
      <w:r>
        <w:rPr>
          <w:b/>
          <w:sz w:val="24"/>
          <w:u w:val="single"/>
        </w:rPr>
        <w:t xml:space="preserve">CODE:</w:t>
      </w:r>
    </w:p>
    <w:p>
      <w:r>
        <w:rPr>
          <w:b/>
        </w:rPr>
        <w:t xml:space="preserve">1. Validated configuration and simulation</w:t>
      </w:r>
    </w:p>
    <w:p>
      <w:pPr>
        <w:pStyle w:val="CodeBlock"/>
        <w:ind w:left="115" w:right="115"/>
        <w:shd w:fill="F1F1F1"/>
      </w:pPr>
      <w:r>
        <w:t xml:space="preserve">from app.models import Config</w:t>
      </w:r>
    </w:p>
    <w:p>
      <w:pPr>
        <w:pStyle w:val="CodeBlock"/>
        <w:ind w:left="115" w:right="115"/>
        <w:shd w:fill="F1F1F1"/>
      </w:pPr>
      <w:r>
        <w:t xml:space="preserve">from app.simulation import simulate</w:t>
      </w:r>
    </w:p>
    <w:p>
      <w:pPr>
        <w:pStyle w:val="CodeBlock"/>
        <w:ind w:left="115" w:right="115"/>
        <w:shd w:fill="F1F1F1"/>
      </w:pPr>
      <w:r>
        <w:t xml:space="preserve"/>
      </w:r>
    </w:p>
    <w:p>
      <w:pPr>
        <w:pStyle w:val="CodeBlock"/>
        <w:ind w:left="115" w:right="115"/>
        <w:shd w:fill="F1F1F1"/>
      </w:pPr>
      <w:r>
        <w:t xml:space="preserve">config = Config(rounds=30, seed=42, game_type="repeated")</w:t>
      </w:r>
    </w:p>
    <w:p>
      <w:pPr>
        <w:pStyle w:val="CodeBlock"/>
        <w:ind w:left="115" w:right="115"/>
        <w:shd w:fill="F1F1F1"/>
      </w:pPr>
      <w:r>
        <w:t xml:space="preserve">result = simulate(config)</w:t>
      </w:r>
    </w:p>
    <w:p>
      <w:pPr>
        <w:pStyle w:val="CodeBlock"/>
        <w:ind w:left="115" w:right="115"/>
        <w:shd w:fill="F1F1F1"/>
      </w:pPr>
      <w:r>
        <w:t xml:space="preserve">summary = result["summary"]</w:t>
      </w:r>
    </w:p>
    <w:p>
      <w:pPr>
        <w:pStyle w:val="CodeBlock"/>
        <w:ind w:left="115" w:right="115"/>
        <w:shd w:fill="F1F1F1"/>
      </w:pPr>
      <w:r>
        <w:t xml:space="preserve">print(summary["total_profit"])</w:t>
      </w:r>
    </w:p>
    <w:p>
      <w:pPr>
        <w:pStyle w:val="CodeBlock"/>
        <w:ind w:left="115" w:right="115"/>
        <w:shd w:fill="F1F1F1"/>
      </w:pPr>
      <w:r>
        <w:t xml:space="preserve">print(summary["fill_rate"])</w:t>
      </w:r>
    </w:p>
    <w:p>
      <w:r>
        <w:rPr>
          <w:b/>
        </w:rPr>
        <w:t xml:space="preserve">2. Expected utility</w:t>
      </w:r>
    </w:p>
    <w:p>
      <w:pPr>
        <w:pStyle w:val="CodeBlock"/>
        <w:ind w:left="115" w:right="115"/>
        <w:shd w:fill="F1F1F1"/>
      </w:pPr>
      <w:r>
        <w:t xml:space="preserve">from app.game_theory import expected_utility</w:t>
      </w:r>
    </w:p>
    <w:p>
      <w:pPr>
        <w:pStyle w:val="CodeBlock"/>
        <w:ind w:left="115" w:right="115"/>
        <w:shd w:fill="F1F1F1"/>
      </w:pPr>
      <w:r>
        <w:t xml:space="preserve">probabilities = [0.25, 0.50, 0.25]</w:t>
      </w:r>
    </w:p>
    <w:p>
      <w:pPr>
        <w:pStyle w:val="CodeBlock"/>
        <w:ind w:left="115" w:right="115"/>
        <w:shd w:fill="F1F1F1"/>
      </w:pPr>
      <w:r>
        <w:t xml:space="preserve">utilities = [100.0, 200.0, 300.0]</w:t>
      </w:r>
    </w:p>
    <w:p>
      <w:pPr>
        <w:pStyle w:val="CodeBlock"/>
        <w:ind w:left="115" w:right="115"/>
        <w:shd w:fill="F1F1F1"/>
      </w:pPr>
      <w:r>
        <w:t xml:space="preserve">print(expected_utility(probabilities, utilities))  # 200.0</w:t>
      </w:r>
    </w:p>
    <w:p>
      <w:r>
        <w:rPr>
          <w:b/>
        </w:rPr>
        <w:t xml:space="preserve">3. Compare models on the same seeded demand</w:t>
      </w:r>
    </w:p>
    <w:p>
      <w:pPr>
        <w:pStyle w:val="CodeBlock"/>
        <w:ind w:left="115" w:right="115"/>
        <w:shd w:fill="F1F1F1"/>
      </w:pPr>
      <w:r>
        <w:t xml:space="preserve">results = {}</w:t>
      </w:r>
    </w:p>
    <w:p>
      <w:pPr>
        <w:pStyle w:val="CodeBlock"/>
        <w:ind w:left="115" w:right="115"/>
        <w:shd w:fill="F1F1F1"/>
      </w:pPr>
      <w:r>
        <w:t xml:space="preserve">for model in ["baseline", "repeated", "bayesian"]:</w:t>
      </w:r>
    </w:p>
    <w:p>
      <w:pPr>
        <w:pStyle w:val="CodeBlock"/>
        <w:ind w:left="115" w:right="115"/>
        <w:shd w:fill="F1F1F1"/>
      </w:pPr>
      <w:r>
        <w:t xml:space="preserve">    config = Config(rounds=30, seed=42, game_type=model)</w:t>
      </w:r>
    </w:p>
    <w:p>
      <w:pPr>
        <w:pStyle w:val="CodeBlock"/>
        <w:ind w:left="115" w:right="115"/>
        <w:shd w:fill="F1F1F1"/>
      </w:pPr>
      <w:r>
        <w:t xml:space="preserve">    results[model] = simulate(config)</w:t>
      </w:r>
    </w:p>
    <w:p>
      <w:pPr>
        <w:pStyle w:val="CodeBlock"/>
        <w:ind w:left="115" w:right="115"/>
        <w:shd w:fill="F1F1F1"/>
      </w:pPr>
      <w:r>
        <w:t xml:space="preserve">    metrics = results[model]["summary"]</w:t>
      </w:r>
    </w:p>
    <w:p>
      <w:pPr>
        <w:pStyle w:val="CodeBlock"/>
        <w:ind w:left="115" w:right="115"/>
        <w:shd w:fill="F1F1F1"/>
      </w:pPr>
      <w:r>
        <w:t xml:space="preserve">    print(model, metrics["total_profit"], metrics["fill_rate"])</w:t>
      </w:r>
    </w:p>
    <w:p>
      <w:pPr>
        <w:pStyle w:val="CodeBlock"/>
        <w:ind w:left="115" w:right="115"/>
        <w:shd w:fill="F1F1F1"/>
      </w:pPr>
      <w:r>
        <w:t xml:space="preserve"/>
      </w:r>
    </w:p>
    <w:p>
      <w:pPr>
        <w:pStyle w:val="CodeBlock"/>
        <w:ind w:left="115" w:right="115"/>
        <w:shd w:fill="F1F1F1"/>
      </w:pPr>
      <w:r>
        <w:t xml:space="preserve"># Each simulation uses the same seeded demand trajectory.</w:t>
      </w:r>
    </w:p>
    <w:p>
      <w:pPr>
        <w:pStyle w:val="CodeBlock"/>
        <w:ind w:left="115" w:right="115"/>
        <w:shd w:fill="F1F1F1"/>
      </w:pPr>
      <w:r>
        <w:t xml:space="preserve">assert results["baseline"]["summary"]["total_demand"] == 3861</w:t>
      </w:r>
    </w:p>
    <w:p>
      <w:r>
        <w:rPr>
          <w:b/>
        </w:rPr>
        <w:t xml:space="preserve">4. Inventory and profit accounting</w:t>
      </w:r>
    </w:p>
    <w:p>
      <w:pPr>
        <w:pStyle w:val="CodeBlock"/>
        <w:ind w:left="115" w:right="115"/>
        <w:shd w:fill="F1F1F1"/>
      </w:pPr>
      <w:r>
        <w:t xml:space="preserve"># Accounting identities checked against actual simulation rows.</w:t>
      </w:r>
    </w:p>
    <w:p>
      <w:pPr>
        <w:pStyle w:val="CodeBlock"/>
        <w:ind w:left="115" w:right="115"/>
        <w:shd w:fill="F1F1F1"/>
      </w:pPr>
      <w:r>
        <w:t xml:space="preserve">for row in result["rounds"]:</w:t>
      </w:r>
    </w:p>
    <w:p>
      <w:pPr>
        <w:pStyle w:val="CodeBlock"/>
        <w:ind w:left="115" w:right="115"/>
        <w:shd w:fill="F1F1F1"/>
      </w:pPr>
      <w:r>
        <w:t xml:space="preserve">    for role in ["manufacturer", "supplier", "retailer"]:</w:t>
      </w:r>
    </w:p>
    <w:p>
      <w:pPr>
        <w:pStyle w:val="CodeBlock"/>
        <w:ind w:left="115" w:right="115"/>
        <w:shd w:fill="F1F1F1"/>
      </w:pPr>
      <w:r>
        <w:t xml:space="preserve">        player = row[role]</w:t>
      </w:r>
    </w:p>
    <w:p>
      <w:pPr>
        <w:pStyle w:val="CodeBlock"/>
        <w:ind w:left="115" w:right="115"/>
        <w:shd w:fill="F1F1F1"/>
      </w:pPr>
      <w:r>
        <w:t xml:space="preserve">        assert player["inventory"] == (</w:t>
      </w:r>
    </w:p>
    <w:p>
      <w:pPr>
        <w:pStyle w:val="CodeBlock"/>
        <w:ind w:left="115" w:right="115"/>
        <w:shd w:fill="F1F1F1"/>
      </w:pPr>
      <w:r>
        <w:t xml:space="preserve">            player["beginning_inventory"]</w:t>
      </w:r>
    </w:p>
    <w:p>
      <w:pPr>
        <w:pStyle w:val="CodeBlock"/>
        <w:ind w:left="115" w:right="115"/>
        <w:shd w:fill="F1F1F1"/>
      </w:pPr>
      <w:r>
        <w:t xml:space="preserve">            + player["received"] - player["shipped"]</w:t>
      </w:r>
    </w:p>
    <w:p>
      <w:pPr>
        <w:pStyle w:val="CodeBlock"/>
        <w:ind w:left="115" w:right="115"/>
        <w:shd w:fill="F1F1F1"/>
      </w:pPr>
      <w:r>
        <w:t xml:space="preserve">        )</w:t>
      </w:r>
    </w:p>
    <w:p>
      <w:pPr>
        <w:pStyle w:val="CodeBlock"/>
        <w:ind w:left="115" w:right="115"/>
        <w:shd w:fill="F1F1F1"/>
      </w:pPr>
      <w:r>
        <w:t xml:space="preserve">    assert row["demand"] == row["fulfilled"] + row["lost"]</w:t>
      </w:r>
    </w:p>
    <w:p>
      <w:pPr>
        <w:pageBreakBefore/>
      </w:pPr>
      <w:r>
        <w:drawing>
          <wp:inline xmlns:a="http://schemas.openxmlformats.org/drawingml/2006/main" xmlns:pic="http://schemas.openxmlformats.org/drawingml/2006/picture">
            <wp:extent cx="5852160" cy="2926080"/>
            <wp:docPr id="4" name="Picture 4" descr="Simulation results for the default 30-round configuration with seed 42"/>
            <wp:cNvGraphicFramePr>
              <a:graphicFrameLocks noChangeAspect="1"/>
            </wp:cNvGraphicFramePr>
            <a:graphic>
              <a:graphicData uri="http://schemas.openxmlformats.org/drawingml/2006/picture">
                <pic:pic>
                  <pic:nvPicPr>
                    <pic:cNvPr id="0" name="model_comparison.png"/>
                    <pic:cNvPicPr/>
                  </pic:nvPicPr>
                  <pic:blipFill>
                    <a:blip r:embed="rId12"/>
                    <a:stretch>
                      <a:fillRect/>
                    </a:stretch>
                  </pic:blipFill>
                  <pic:spPr>
                    <a:xfrm>
                      <a:off x="0" y="0"/>
                      <a:ext cx="5852160" cy="2926080"/>
                    </a:xfrm>
                    <a:prstGeom prst="rect"/>
                  </pic:spPr>
                </pic:pic>
              </a:graphicData>
            </a:graphic>
          </wp:inline>
        </w:drawing>
      </w:r>
    </w:p>
    <w:p>
      <w:pPr>
        <w:spacing w:after="80"/>
        <w:jc w:val="center"/>
      </w:pPr>
      <w:r>
        <w:rPr>
          <w:i/>
          <w:sz w:val="18"/>
        </w:rPr>
        <w:t xml:space="preserve">Figure 3: Total operating profit for the three models</w:t>
      </w:r>
    </w:p>
    <w:p>
      <w:pPr>
        <w:spacing w:before="80" w:after="40"/>
      </w:pPr>
      <w:r>
        <w:rPr>
          <w:b/>
          <w:sz w:val="24"/>
          <w:u w:val="single"/>
        </w:rPr>
        <w:t xml:space="preserve">MODEL PERFORMANCE:</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606"/>
          </w:tcPr>
          <w:p>
            <w:pPr>
              <w:spacing w:after="0"/>
            </w:pPr>
            <w:r>
              <w:rPr>
                <w:b/>
                <w:sz w:val="18"/>
              </w:rPr>
              <w:t xml:space="preserve">Model</w:t>
            </w:r>
          </w:p>
        </w:tc>
        <w:tc>
          <w:tcPr>
            <w:tcW w:type="dxa" w:w="2606"/>
          </w:tcPr>
          <w:p>
            <w:pPr>
              <w:spacing w:after="0"/>
            </w:pPr>
            <w:r>
              <w:rPr>
                <w:b/>
                <w:sz w:val="18"/>
              </w:rPr>
              <w:t xml:space="preserve">Profit in Rs.</w:t>
            </w:r>
          </w:p>
        </w:tc>
        <w:tc>
          <w:tcPr>
            <w:tcW w:type="dxa" w:w="2606"/>
          </w:tcPr>
          <w:p>
            <w:pPr>
              <w:spacing w:after="0"/>
            </w:pPr>
            <w:r>
              <w:rPr>
                <w:b/>
                <w:sz w:val="18"/>
              </w:rPr>
              <w:t xml:space="preserve">Fill rate</w:t>
            </w:r>
          </w:p>
        </w:tc>
        <w:tc>
          <w:tcPr>
            <w:tcW w:type="dxa" w:w="2606"/>
          </w:tcPr>
          <w:p>
            <w:pPr>
              <w:spacing w:after="0"/>
            </w:pPr>
            <w:r>
              <w:rPr>
                <w:b/>
                <w:sz w:val="18"/>
              </w:rPr>
              <w:t xml:space="preserve">Stockout rounds</w:t>
            </w:r>
          </w:p>
        </w:tc>
      </w:tr>
      <w:tr>
        <w:tc>
          <w:tcPr>
            <w:tcW w:type="dxa" w:w="2606"/>
          </w:tcPr>
          <w:p>
            <w:pPr>
              <w:spacing w:after="0"/>
            </w:pPr>
            <w:r>
              <w:rPr>
                <w:sz w:val="18"/>
              </w:rPr>
              <w:t xml:space="preserve">Baseline</w:t>
            </w:r>
          </w:p>
        </w:tc>
        <w:tc>
          <w:tcPr>
            <w:tcW w:type="dxa" w:w="2606"/>
          </w:tcPr>
          <w:p>
            <w:pPr>
              <w:spacing w:after="0"/>
            </w:pPr>
            <w:r>
              <w:rPr>
                <w:sz w:val="18"/>
              </w:rPr>
              <w:t xml:space="preserve">179,005.00</w:t>
            </w:r>
          </w:p>
        </w:tc>
        <w:tc>
          <w:tcPr>
            <w:tcW w:type="dxa" w:w="2606"/>
          </w:tcPr>
          <w:p>
            <w:pPr>
              <w:spacing w:after="0"/>
            </w:pPr>
            <w:r>
              <w:rPr>
                <w:sz w:val="18"/>
              </w:rPr>
              <w:t xml:space="preserve">94.22%</w:t>
            </w:r>
          </w:p>
        </w:tc>
        <w:tc>
          <w:tcPr>
            <w:tcW w:type="dxa" w:w="2606"/>
          </w:tcPr>
          <w:p>
            <w:pPr>
              <w:spacing w:after="0"/>
            </w:pPr>
            <w:r>
              <w:rPr>
                <w:sz w:val="18"/>
              </w:rPr>
              <w:t xml:space="preserve">13</w:t>
            </w:r>
          </w:p>
        </w:tc>
      </w:tr>
      <w:tr>
        <w:tc>
          <w:tcPr>
            <w:tcW w:type="dxa" w:w="2606"/>
          </w:tcPr>
          <w:p>
            <w:pPr>
              <w:spacing w:after="0"/>
            </w:pPr>
            <w:r>
              <w:rPr>
                <w:sz w:val="18"/>
              </w:rPr>
              <w:t xml:space="preserve">Repeated</w:t>
            </w:r>
          </w:p>
        </w:tc>
        <w:tc>
          <w:tcPr>
            <w:tcW w:type="dxa" w:w="2606"/>
          </w:tcPr>
          <w:p>
            <w:pPr>
              <w:spacing w:after="0"/>
            </w:pPr>
            <w:r>
              <w:rPr>
                <w:sz w:val="18"/>
              </w:rPr>
              <w:t xml:space="preserve">183,129.00</w:t>
            </w:r>
          </w:p>
        </w:tc>
        <w:tc>
          <w:tcPr>
            <w:tcW w:type="dxa" w:w="2606"/>
          </w:tcPr>
          <w:p>
            <w:pPr>
              <w:spacing w:after="0"/>
            </w:pPr>
            <w:r>
              <w:rPr>
                <w:sz w:val="18"/>
              </w:rPr>
              <w:t xml:space="preserve">96.37%</w:t>
            </w:r>
          </w:p>
        </w:tc>
        <w:tc>
          <w:tcPr>
            <w:tcW w:type="dxa" w:w="2606"/>
          </w:tcPr>
          <w:p>
            <w:pPr>
              <w:spacing w:after="0"/>
            </w:pPr>
            <w:r>
              <w:rPr>
                <w:sz w:val="18"/>
              </w:rPr>
              <w:t xml:space="preserve">12</w:t>
            </w:r>
          </w:p>
        </w:tc>
      </w:tr>
      <w:tr>
        <w:tc>
          <w:tcPr>
            <w:tcW w:type="dxa" w:w="2606"/>
          </w:tcPr>
          <w:p>
            <w:pPr>
              <w:spacing w:after="0"/>
            </w:pPr>
            <w:r>
              <w:rPr>
                <w:sz w:val="18"/>
              </w:rPr>
              <w:t xml:space="preserve">Bayesian</w:t>
            </w:r>
          </w:p>
        </w:tc>
        <w:tc>
          <w:tcPr>
            <w:tcW w:type="dxa" w:w="2606"/>
          </w:tcPr>
          <w:p>
            <w:pPr>
              <w:spacing w:after="0"/>
            </w:pPr>
            <w:r>
              <w:rPr>
                <w:sz w:val="18"/>
              </w:rPr>
              <w:t xml:space="preserve">162,480.50</w:t>
            </w:r>
          </w:p>
        </w:tc>
        <w:tc>
          <w:tcPr>
            <w:tcW w:type="dxa" w:w="2606"/>
          </w:tcPr>
          <w:p>
            <w:pPr>
              <w:spacing w:after="0"/>
            </w:pPr>
            <w:r>
              <w:rPr>
                <w:sz w:val="18"/>
              </w:rPr>
              <w:t xml:space="preserve">88.58%</w:t>
            </w:r>
          </w:p>
        </w:tc>
        <w:tc>
          <w:tcPr>
            <w:tcW w:type="dxa" w:w="2606"/>
          </w:tcPr>
          <w:p>
            <w:pPr>
              <w:spacing w:after="0"/>
            </w:pPr>
            <w:r>
              <w:rPr>
                <w:sz w:val="18"/>
              </w:rPr>
              <w:t xml:space="preserve">20</w:t>
            </w:r>
          </w:p>
        </w:tc>
      </w:tr>
    </w:tbl>
    <w:p>
      <w:r>
        <w:t xml:space="preserve">Repeated play has the highest total profit in this run at Rs. 183,129.00 and a 96.37% fill rate. Baseline earns Rs. 179,005.00; Bayesian play earns Rs. 162,480.50. All models face the same demand. Repeated play holds more stock than baseline, and the supplier earns slightly less despite higher total-chain profit.</w:t>
      </w:r>
    </w:p>
    <w:p>
      <w:r>
        <w:br w:type="page"/>
      </w:r>
    </w:p>
    <w:p>
      <w:pPr>
        <w:spacing w:before="80" w:after="40"/>
      </w:pPr>
      <w:r>
        <w:rPr>
          <w:b/>
          <w:sz w:val="24"/>
          <w:u w:val="single"/>
        </w:rPr>
        <w:t xml:space="preserve">OUTPUT:</w:t>
      </w:r>
    </w:p>
    <w:p>
      <w:r>
        <w:t xml:space="preserve">The following outputs were computed directly by the project simulation engine using the default 30-round configuration and seed 42. The table shows the first fifteen rounds of the repeated-game run.</w:t>
      </w:r>
    </w:p>
    <w:p>
      <w:r>
        <w:drawing>
          <wp:inline xmlns:a="http://schemas.openxmlformats.org/drawingml/2006/main" xmlns:pic="http://schemas.openxmlformats.org/drawingml/2006/picture">
            <wp:extent cx="5394960" cy="4551998"/>
            <wp:docPr id="5" name="Picture 5" descr="Simulation results for the default 30-round configuration with seed 42"/>
            <wp:cNvGraphicFramePr>
              <a:graphicFrameLocks noChangeAspect="1"/>
            </wp:cNvGraphicFramePr>
            <a:graphic>
              <a:graphicData uri="http://schemas.openxmlformats.org/drawingml/2006/picture">
                <pic:pic>
                  <pic:nvPicPr>
                    <pic:cNvPr id="0" name="actual_vs_predicted.png"/>
                    <pic:cNvPicPr/>
                  </pic:nvPicPr>
                  <pic:blipFill>
                    <a:blip r:embed="rId13"/>
                    <a:stretch>
                      <a:fillRect/>
                    </a:stretch>
                  </pic:blipFill>
                  <pic:spPr>
                    <a:xfrm>
                      <a:off x="0" y="0"/>
                      <a:ext cx="5394960" cy="4551998"/>
                    </a:xfrm>
                    <a:prstGeom prst="rect"/>
                  </pic:spPr>
                </pic:pic>
              </a:graphicData>
            </a:graphic>
          </wp:inline>
        </w:drawing>
      </w:r>
    </w:p>
    <w:p>
      <w:pPr>
        <w:spacing w:after="80"/>
        <w:jc w:val="center"/>
      </w:pPr>
      <w:r>
        <w:rPr>
          <w:i/>
          <w:sz w:val="18"/>
        </w:rPr>
        <w:t xml:space="preserve">Figure 4: Repeated-game demand and sales for the first fifteen rounds</w:t>
      </w:r>
    </w:p>
    <w:tbl>
      <w:tblPr>
        <w:tblStyle w:val="TableGrid"/>
        <w:tblW w:type="auto" w:w="0"/>
        <w:jc w:val="center"/>
        <w:tblLook w:firstColumn="1" w:firstRow="1" w:lastColumn="0" w:lastRow="0" w:noHBand="0" w:noVBand="1" w:val="04A0"/>
      </w:tblPr>
      <w:tblGrid>
        <w:gridCol w:w="3475"/>
        <w:gridCol w:w="3475"/>
        <w:gridCol w:w="3475"/>
      </w:tblGrid>
      <w:tr>
        <w:tc>
          <w:tcPr>
            <w:tcW w:type="dxa" w:w="3475"/>
          </w:tcPr>
          <w:p>
            <w:pPr>
              <w:spacing w:after="0"/>
            </w:pPr>
            <w:r>
              <w:rPr>
                <w:b/>
                <w:sz w:val="17"/>
              </w:rPr>
              <w:t xml:space="preserve">Round</w:t>
            </w:r>
          </w:p>
        </w:tc>
        <w:tc>
          <w:tcPr>
            <w:tcW w:type="dxa" w:w="3475"/>
          </w:tcPr>
          <w:p>
            <w:pPr>
              <w:spacing w:after="0"/>
            </w:pPr>
            <w:r>
              <w:rPr>
                <w:b/>
                <w:sz w:val="17"/>
              </w:rPr>
              <w:t xml:space="preserve">Customer demand</w:t>
            </w:r>
          </w:p>
        </w:tc>
        <w:tc>
          <w:tcPr>
            <w:tcW w:type="dxa" w:w="3475"/>
          </w:tcPr>
          <w:p>
            <w:pPr>
              <w:spacing w:after="0"/>
            </w:pPr>
            <w:r>
              <w:rPr>
                <w:b/>
                <w:sz w:val="17"/>
              </w:rPr>
              <w:t xml:space="preserve">Fulfilled units</w:t>
            </w:r>
          </w:p>
        </w:tc>
      </w:tr>
      <w:tr>
        <w:tc>
          <w:tcPr>
            <w:tcW w:type="dxa" w:w="3475"/>
          </w:tcPr>
          <w:p>
            <w:pPr>
              <w:spacing w:after="0"/>
            </w:pPr>
            <w:r>
              <w:rPr>
                <w:sz w:val="17"/>
              </w:rPr>
              <w:t xml:space="preserve">1</w:t>
            </w:r>
          </w:p>
        </w:tc>
        <w:tc>
          <w:tcPr>
            <w:tcW w:type="dxa" w:w="3475"/>
          </w:tcPr>
          <w:p>
            <w:pPr>
              <w:spacing w:after="0"/>
            </w:pPr>
            <w:r>
              <w:rPr>
                <w:sz w:val="17"/>
              </w:rPr>
              <w:t xml:space="preserve">114</w:t>
            </w:r>
          </w:p>
        </w:tc>
        <w:tc>
          <w:tcPr>
            <w:tcW w:type="dxa" w:w="3475"/>
          </w:tcPr>
          <w:p>
            <w:pPr>
              <w:spacing w:after="0"/>
            </w:pPr>
            <w:r>
              <w:rPr>
                <w:sz w:val="17"/>
              </w:rPr>
              <w:t xml:space="preserve">114</w:t>
            </w:r>
          </w:p>
        </w:tc>
      </w:tr>
      <w:tr>
        <w:tc>
          <w:tcPr>
            <w:tcW w:type="dxa" w:w="3475"/>
          </w:tcPr>
          <w:p>
            <w:pPr>
              <w:spacing w:after="0"/>
            </w:pPr>
            <w:r>
              <w:rPr>
                <w:sz w:val="17"/>
              </w:rPr>
              <w:t xml:space="preserve">2</w:t>
            </w:r>
          </w:p>
        </w:tc>
        <w:tc>
          <w:tcPr>
            <w:tcW w:type="dxa" w:w="3475"/>
          </w:tcPr>
          <w:p>
            <w:pPr>
              <w:spacing w:after="0"/>
            </w:pPr>
            <w:r>
              <w:rPr>
                <w:sz w:val="17"/>
              </w:rPr>
              <w:t xml:space="preserve">61</w:t>
            </w:r>
          </w:p>
        </w:tc>
        <w:tc>
          <w:tcPr>
            <w:tcW w:type="dxa" w:w="3475"/>
          </w:tcPr>
          <w:p>
            <w:pPr>
              <w:spacing w:after="0"/>
            </w:pPr>
            <w:r>
              <w:rPr>
                <w:sz w:val="17"/>
              </w:rPr>
              <w:t xml:space="preserve">61</w:t>
            </w:r>
          </w:p>
        </w:tc>
      </w:tr>
      <w:tr>
        <w:tc>
          <w:tcPr>
            <w:tcW w:type="dxa" w:w="3475"/>
          </w:tcPr>
          <w:p>
            <w:pPr>
              <w:spacing w:after="0"/>
            </w:pPr>
            <w:r>
              <w:rPr>
                <w:sz w:val="17"/>
              </w:rPr>
              <w:t xml:space="preserve">3</w:t>
            </w:r>
          </w:p>
        </w:tc>
        <w:tc>
          <w:tcPr>
            <w:tcW w:type="dxa" w:w="3475"/>
          </w:tcPr>
          <w:p>
            <w:pPr>
              <w:spacing w:after="0"/>
            </w:pPr>
            <w:r>
              <w:rPr>
                <w:sz w:val="17"/>
              </w:rPr>
              <w:t xml:space="preserve">129</w:t>
            </w:r>
          </w:p>
        </w:tc>
        <w:tc>
          <w:tcPr>
            <w:tcW w:type="dxa" w:w="3475"/>
          </w:tcPr>
          <w:p>
            <w:pPr>
              <w:spacing w:after="0"/>
            </w:pPr>
            <w:r>
              <w:rPr>
                <w:sz w:val="17"/>
              </w:rPr>
              <w:t xml:space="preserve">129</w:t>
            </w:r>
          </w:p>
        </w:tc>
      </w:tr>
      <w:tr>
        <w:tc>
          <w:tcPr>
            <w:tcW w:type="dxa" w:w="3475"/>
          </w:tcPr>
          <w:p>
            <w:pPr>
              <w:spacing w:after="0"/>
            </w:pPr>
            <w:r>
              <w:rPr>
                <w:sz w:val="17"/>
              </w:rPr>
              <w:t xml:space="preserve">4</w:t>
            </w:r>
          </w:p>
        </w:tc>
        <w:tc>
          <w:tcPr>
            <w:tcW w:type="dxa" w:w="3475"/>
          </w:tcPr>
          <w:p>
            <w:pPr>
              <w:spacing w:after="0"/>
            </w:pPr>
            <w:r>
              <w:rPr>
                <w:sz w:val="17"/>
              </w:rPr>
              <w:t xml:space="preserve">118</w:t>
            </w:r>
          </w:p>
        </w:tc>
        <w:tc>
          <w:tcPr>
            <w:tcW w:type="dxa" w:w="3475"/>
          </w:tcPr>
          <w:p>
            <w:pPr>
              <w:spacing w:after="0"/>
            </w:pPr>
            <w:r>
              <w:rPr>
                <w:sz w:val="17"/>
              </w:rPr>
              <w:t xml:space="preserve">118</w:t>
            </w:r>
          </w:p>
        </w:tc>
      </w:tr>
      <w:tr>
        <w:tc>
          <w:tcPr>
            <w:tcW w:type="dxa" w:w="3475"/>
          </w:tcPr>
          <w:p>
            <w:pPr>
              <w:spacing w:after="0"/>
            </w:pPr>
            <w:r>
              <w:rPr>
                <w:sz w:val="17"/>
              </w:rPr>
              <w:t xml:space="preserve">5</w:t>
            </w:r>
          </w:p>
        </w:tc>
        <w:tc>
          <w:tcPr>
            <w:tcW w:type="dxa" w:w="3475"/>
          </w:tcPr>
          <w:p>
            <w:pPr>
              <w:spacing w:after="0"/>
            </w:pPr>
            <w:r>
              <w:rPr>
                <w:sz w:val="17"/>
              </w:rPr>
              <w:t xml:space="preserve">151</w:t>
            </w:r>
          </w:p>
        </w:tc>
        <w:tc>
          <w:tcPr>
            <w:tcW w:type="dxa" w:w="3475"/>
          </w:tcPr>
          <w:p>
            <w:pPr>
              <w:spacing w:after="0"/>
            </w:pPr>
            <w:r>
              <w:rPr>
                <w:sz w:val="17"/>
              </w:rPr>
              <w:t xml:space="preserve">130</w:t>
            </w:r>
          </w:p>
        </w:tc>
      </w:tr>
      <w:tr>
        <w:tc>
          <w:tcPr>
            <w:tcW w:type="dxa" w:w="3475"/>
          </w:tcPr>
          <w:p>
            <w:pPr>
              <w:spacing w:after="0"/>
            </w:pPr>
            <w:r>
              <w:rPr>
                <w:sz w:val="17"/>
              </w:rPr>
              <w:t xml:space="preserve">6</w:t>
            </w:r>
          </w:p>
        </w:tc>
        <w:tc>
          <w:tcPr>
            <w:tcW w:type="dxa" w:w="3475"/>
          </w:tcPr>
          <w:p>
            <w:pPr>
              <w:spacing w:after="0"/>
            </w:pPr>
            <w:r>
              <w:rPr>
                <w:sz w:val="17"/>
              </w:rPr>
              <w:t xml:space="preserve">158</w:t>
            </w:r>
          </w:p>
        </w:tc>
        <w:tc>
          <w:tcPr>
            <w:tcW w:type="dxa" w:w="3475"/>
          </w:tcPr>
          <w:p>
            <w:pPr>
              <w:spacing w:after="0"/>
            </w:pPr>
            <w:r>
              <w:rPr>
                <w:sz w:val="17"/>
              </w:rPr>
              <w:t xml:space="preserve">151</w:t>
            </w:r>
          </w:p>
        </w:tc>
      </w:tr>
      <w:tr>
        <w:tc>
          <w:tcPr>
            <w:tcW w:type="dxa" w:w="3475"/>
          </w:tcPr>
          <w:p>
            <w:pPr>
              <w:spacing w:after="0"/>
            </w:pPr>
            <w:r>
              <w:rPr>
                <w:sz w:val="17"/>
              </w:rPr>
              <w:t xml:space="preserve">7</w:t>
            </w:r>
          </w:p>
        </w:tc>
        <w:tc>
          <w:tcPr>
            <w:tcW w:type="dxa" w:w="3475"/>
          </w:tcPr>
          <w:p>
            <w:pPr>
              <w:spacing w:after="0"/>
            </w:pPr>
            <w:r>
              <w:rPr>
                <w:sz w:val="17"/>
              </w:rPr>
              <w:t xml:space="preserve">118</w:t>
            </w:r>
          </w:p>
        </w:tc>
        <w:tc>
          <w:tcPr>
            <w:tcW w:type="dxa" w:w="3475"/>
          </w:tcPr>
          <w:p>
            <w:pPr>
              <w:spacing w:after="0"/>
            </w:pPr>
            <w:r>
              <w:rPr>
                <w:sz w:val="17"/>
              </w:rPr>
              <w:t xml:space="preserve">118</w:t>
            </w:r>
          </w:p>
        </w:tc>
      </w:tr>
      <w:tr>
        <w:tc>
          <w:tcPr>
            <w:tcW w:type="dxa" w:w="3475"/>
          </w:tcPr>
          <w:p>
            <w:pPr>
              <w:spacing w:after="0"/>
            </w:pPr>
            <w:r>
              <w:rPr>
                <w:sz w:val="17"/>
              </w:rPr>
              <w:t xml:space="preserve">8</w:t>
            </w:r>
          </w:p>
        </w:tc>
        <w:tc>
          <w:tcPr>
            <w:tcW w:type="dxa" w:w="3475"/>
          </w:tcPr>
          <w:p>
            <w:pPr>
              <w:spacing w:after="0"/>
            </w:pPr>
            <w:r>
              <w:rPr>
                <w:sz w:val="17"/>
              </w:rPr>
              <w:t xml:space="preserve">116</w:t>
            </w:r>
          </w:p>
        </w:tc>
        <w:tc>
          <w:tcPr>
            <w:tcW w:type="dxa" w:w="3475"/>
          </w:tcPr>
          <w:p>
            <w:pPr>
              <w:spacing w:after="0"/>
            </w:pPr>
            <w:r>
              <w:rPr>
                <w:sz w:val="17"/>
              </w:rPr>
              <w:t xml:space="preserve">116</w:t>
            </w:r>
          </w:p>
        </w:tc>
      </w:tr>
      <w:tr>
        <w:tc>
          <w:tcPr>
            <w:tcW w:type="dxa" w:w="3475"/>
          </w:tcPr>
          <w:p>
            <w:pPr>
              <w:spacing w:after="0"/>
            </w:pPr>
            <w:r>
              <w:rPr>
                <w:sz w:val="17"/>
              </w:rPr>
              <w:t xml:space="preserve">9</w:t>
            </w:r>
          </w:p>
        </w:tc>
        <w:tc>
          <w:tcPr>
            <w:tcW w:type="dxa" w:w="3475"/>
          </w:tcPr>
          <w:p>
            <w:pPr>
              <w:spacing w:after="0"/>
            </w:pPr>
            <w:r>
              <w:rPr>
                <w:sz w:val="17"/>
              </w:rPr>
              <w:t xml:space="preserve">96</w:t>
            </w:r>
          </w:p>
        </w:tc>
        <w:tc>
          <w:tcPr>
            <w:tcW w:type="dxa" w:w="3475"/>
          </w:tcPr>
          <w:p>
            <w:pPr>
              <w:spacing w:after="0"/>
            </w:pPr>
            <w:r>
              <w:rPr>
                <w:sz w:val="17"/>
              </w:rPr>
              <w:t xml:space="preserve">96</w:t>
            </w:r>
          </w:p>
        </w:tc>
      </w:tr>
      <w:tr>
        <w:tc>
          <w:tcPr>
            <w:tcW w:type="dxa" w:w="3475"/>
          </w:tcPr>
          <w:p>
            <w:pPr>
              <w:spacing w:after="0"/>
            </w:pPr>
            <w:r>
              <w:rPr>
                <w:sz w:val="17"/>
              </w:rPr>
              <w:t xml:space="preserve">10</w:t>
            </w:r>
          </w:p>
        </w:tc>
        <w:tc>
          <w:tcPr>
            <w:tcW w:type="dxa" w:w="3475"/>
          </w:tcPr>
          <w:p>
            <w:pPr>
              <w:spacing w:after="0"/>
            </w:pPr>
            <w:r>
              <w:rPr>
                <w:sz w:val="17"/>
              </w:rPr>
              <w:t xml:space="preserve">124</w:t>
            </w:r>
          </w:p>
        </w:tc>
        <w:tc>
          <w:tcPr>
            <w:tcW w:type="dxa" w:w="3475"/>
          </w:tcPr>
          <w:p>
            <w:pPr>
              <w:spacing w:after="0"/>
            </w:pPr>
            <w:r>
              <w:rPr>
                <w:sz w:val="17"/>
              </w:rPr>
              <w:t xml:space="preserve">124</w:t>
            </w:r>
          </w:p>
        </w:tc>
      </w:tr>
      <w:tr>
        <w:tc>
          <w:tcPr>
            <w:tcW w:type="dxa" w:w="3475"/>
          </w:tcPr>
          <w:p>
            <w:pPr>
              <w:spacing w:after="0"/>
            </w:pPr>
            <w:r>
              <w:rPr>
                <w:sz w:val="17"/>
              </w:rPr>
              <w:t xml:space="preserve">11</w:t>
            </w:r>
          </w:p>
        </w:tc>
        <w:tc>
          <w:tcPr>
            <w:tcW w:type="dxa" w:w="3475"/>
          </w:tcPr>
          <w:p>
            <w:pPr>
              <w:spacing w:after="0"/>
            </w:pPr>
            <w:r>
              <w:rPr>
                <w:sz w:val="17"/>
              </w:rPr>
              <w:t xml:space="preserve">128</w:t>
            </w:r>
          </w:p>
        </w:tc>
        <w:tc>
          <w:tcPr>
            <w:tcW w:type="dxa" w:w="3475"/>
          </w:tcPr>
          <w:p>
            <w:pPr>
              <w:spacing w:after="0"/>
            </w:pPr>
            <w:r>
              <w:rPr>
                <w:sz w:val="17"/>
              </w:rPr>
              <w:t xml:space="preserve">128</w:t>
            </w:r>
          </w:p>
        </w:tc>
      </w:tr>
      <w:tr>
        <w:tc>
          <w:tcPr>
            <w:tcW w:type="dxa" w:w="3475"/>
          </w:tcPr>
          <w:p>
            <w:pPr>
              <w:spacing w:after="0"/>
            </w:pPr>
            <w:r>
              <w:rPr>
                <w:sz w:val="17"/>
              </w:rPr>
              <w:t xml:space="preserve">12</w:t>
            </w:r>
          </w:p>
        </w:tc>
        <w:tc>
          <w:tcPr>
            <w:tcW w:type="dxa" w:w="3475"/>
          </w:tcPr>
          <w:p>
            <w:pPr>
              <w:spacing w:after="0"/>
            </w:pPr>
            <w:r>
              <w:rPr>
                <w:sz w:val="17"/>
              </w:rPr>
              <w:t xml:space="preserve">142</w:t>
            </w:r>
          </w:p>
        </w:tc>
        <w:tc>
          <w:tcPr>
            <w:tcW w:type="dxa" w:w="3475"/>
          </w:tcPr>
          <w:p>
            <w:pPr>
              <w:spacing w:after="0"/>
            </w:pPr>
            <w:r>
              <w:rPr>
                <w:sz w:val="17"/>
              </w:rPr>
              <w:t xml:space="preserve">130</w:t>
            </w:r>
          </w:p>
        </w:tc>
      </w:tr>
      <w:tr>
        <w:tc>
          <w:tcPr>
            <w:tcW w:type="dxa" w:w="3475"/>
          </w:tcPr>
          <w:p>
            <w:pPr>
              <w:spacing w:after="0"/>
            </w:pPr>
            <w:r>
              <w:rPr>
                <w:sz w:val="17"/>
              </w:rPr>
              <w:t xml:space="preserve">13</w:t>
            </w:r>
          </w:p>
        </w:tc>
        <w:tc>
          <w:tcPr>
            <w:tcW w:type="dxa" w:w="3475"/>
          </w:tcPr>
          <w:p>
            <w:pPr>
              <w:spacing w:after="0"/>
            </w:pPr>
            <w:r>
              <w:rPr>
                <w:sz w:val="17"/>
              </w:rPr>
              <w:t xml:space="preserve">144</w:t>
            </w:r>
          </w:p>
        </w:tc>
        <w:tc>
          <w:tcPr>
            <w:tcW w:type="dxa" w:w="3475"/>
          </w:tcPr>
          <w:p>
            <w:pPr>
              <w:spacing w:after="0"/>
            </w:pPr>
            <w:r>
              <w:rPr>
                <w:sz w:val="17"/>
              </w:rPr>
              <w:t xml:space="preserve">142</w:t>
            </w:r>
          </w:p>
        </w:tc>
      </w:tr>
      <w:tr>
        <w:tc>
          <w:tcPr>
            <w:tcW w:type="dxa" w:w="3475"/>
          </w:tcPr>
          <w:p>
            <w:pPr>
              <w:spacing w:after="0"/>
            </w:pPr>
            <w:r>
              <w:rPr>
                <w:sz w:val="17"/>
              </w:rPr>
              <w:t xml:space="preserve">14</w:t>
            </w:r>
          </w:p>
        </w:tc>
        <w:tc>
          <w:tcPr>
            <w:tcW w:type="dxa" w:w="3475"/>
          </w:tcPr>
          <w:p>
            <w:pPr>
              <w:spacing w:after="0"/>
            </w:pPr>
            <w:r>
              <w:rPr>
                <w:sz w:val="17"/>
              </w:rPr>
              <w:t xml:space="preserve">127</w:t>
            </w:r>
          </w:p>
        </w:tc>
        <w:tc>
          <w:tcPr>
            <w:tcW w:type="dxa" w:w="3475"/>
          </w:tcPr>
          <w:p>
            <w:pPr>
              <w:spacing w:after="0"/>
            </w:pPr>
            <w:r>
              <w:rPr>
                <w:sz w:val="17"/>
              </w:rPr>
              <w:t xml:space="preserve">127</w:t>
            </w:r>
          </w:p>
        </w:tc>
      </w:tr>
      <w:tr>
        <w:tc>
          <w:tcPr>
            <w:tcW w:type="dxa" w:w="3475"/>
          </w:tcPr>
          <w:p>
            <w:pPr>
              <w:spacing w:after="0"/>
            </w:pPr>
            <w:r>
              <w:rPr>
                <w:sz w:val="17"/>
              </w:rPr>
              <w:t xml:space="preserve">15</w:t>
            </w:r>
          </w:p>
        </w:tc>
        <w:tc>
          <w:tcPr>
            <w:tcW w:type="dxa" w:w="3475"/>
          </w:tcPr>
          <w:p>
            <w:pPr>
              <w:spacing w:after="0"/>
            </w:pPr>
            <w:r>
              <w:rPr>
                <w:sz w:val="17"/>
              </w:rPr>
              <w:t xml:space="preserve">119</w:t>
            </w:r>
          </w:p>
        </w:tc>
        <w:tc>
          <w:tcPr>
            <w:tcW w:type="dxa" w:w="3475"/>
          </w:tcPr>
          <w:p>
            <w:pPr>
              <w:spacing w:after="0"/>
            </w:pPr>
            <w:r>
              <w:rPr>
                <w:sz w:val="17"/>
              </w:rPr>
              <w:t xml:space="preserve">119</w:t>
            </w:r>
          </w:p>
        </w:tc>
      </w:tr>
    </w:tbl>
    <w:p>
      <w:pPr>
        <w:spacing w:before="80" w:after="40"/>
        <w:pageBreakBefore/>
      </w:pPr>
      <w:r>
        <w:rPr>
          <w:b/>
          <w:sz w:val="24"/>
          <w:u w:val="single"/>
        </w:rPr>
        <w:t xml:space="preserve">COST AND INVENTORY ANALYSIS:</w:t>
      </w:r>
    </w:p>
    <w:p>
      <w:r>
        <w:drawing>
          <wp:inline xmlns:a="http://schemas.openxmlformats.org/drawingml/2006/main" xmlns:pic="http://schemas.openxmlformats.org/drawingml/2006/picture">
            <wp:extent cx="5943600" cy="3566160"/>
            <wp:docPr id="6" name="Picture 6" descr="Simulation results for the default 30-round configuration with seed 42"/>
            <wp:cNvGraphicFramePr>
              <a:graphicFrameLocks noChangeAspect="1"/>
            </wp:cNvGraphicFramePr>
            <a:graphic>
              <a:graphicData uri="http://schemas.openxmlformats.org/drawingml/2006/picture">
                <pic:pic>
                  <pic:nvPicPr>
                    <pic:cNvPr id="0" name="feature_importance.png"/>
                    <pic:cNvPicPr/>
                  </pic:nvPicPr>
                  <pic:blipFill>
                    <a:blip r:embed="rId14"/>
                    <a:stretch>
                      <a:fillRect/>
                    </a:stretch>
                  </pic:blipFill>
                  <pic:spPr>
                    <a:xfrm>
                      <a:off x="0" y="0"/>
                      <a:ext cx="5943600" cy="3566160"/>
                    </a:xfrm>
                    <a:prstGeom prst="rect"/>
                  </pic:spPr>
                </pic:pic>
              </a:graphicData>
            </a:graphic>
          </wp:inline>
        </w:drawing>
      </w:r>
    </w:p>
    <w:p>
      <w:pPr>
        <w:spacing w:after="80"/>
        <w:jc w:val="center"/>
      </w:pPr>
      <w:r>
        <w:rPr>
          <w:i/>
          <w:sz w:val="18"/>
        </w:rPr>
        <w:t xml:space="preserve">Figure 5: Repeated-game operating cost breakdown</w:t>
      </w:r>
    </w:p>
    <w:p>
      <w:r>
        <w:t xml:space="preserve">Production is the largest external cost in this run. Internal supplier and wholesale payments cancel when player profits are combined. Holding cost increases when more stock remains after a round. Shortage penalties apply to lost retail demand. Initial inventory is a sunk asset and there is no final salvage value.</w:t>
      </w:r>
    </w:p>
    <w:tbl>
      <w:tblPr>
        <w:tblStyle w:val="TableGrid"/>
        <w:tblW w:type="auto" w:w="0"/>
        <w:jc w:val="center"/>
        <w:tblLook w:firstColumn="1" w:firstRow="1" w:lastColumn="0" w:lastRow="0" w:noHBand="0" w:noVBand="1" w:val="04A0"/>
      </w:tblPr>
      <w:tblGrid>
        <w:gridCol w:w="5213"/>
        <w:gridCol w:w="5213"/>
      </w:tblGrid>
      <w:tr>
        <w:tc>
          <w:tcPr>
            <w:tcW w:type="dxa" w:w="5213"/>
          </w:tcPr>
          <w:p>
            <w:pPr>
              <w:spacing w:after="0"/>
            </w:pPr>
            <w:r>
              <w:rPr>
                <w:b/>
                <w:sz w:val="17"/>
              </w:rPr>
              <w:t xml:space="preserve">Metric</w:t>
            </w:r>
          </w:p>
        </w:tc>
        <w:tc>
          <w:tcPr>
            <w:tcW w:type="dxa" w:w="5213"/>
          </w:tcPr>
          <w:p>
            <w:pPr>
              <w:spacing w:after="0"/>
            </w:pPr>
            <w:r>
              <w:rPr>
                <w:b/>
                <w:sz w:val="17"/>
              </w:rPr>
              <w:t xml:space="preserve">Repeated-game result</w:t>
            </w:r>
          </w:p>
        </w:tc>
      </w:tr>
      <w:tr>
        <w:tc>
          <w:tcPr>
            <w:tcW w:type="dxa" w:w="5213"/>
          </w:tcPr>
          <w:p>
            <w:pPr>
              <w:spacing w:after="0"/>
            </w:pPr>
            <w:r>
              <w:rPr>
                <w:sz w:val="17"/>
              </w:rPr>
              <w:t xml:space="preserve">Production cost</w:t>
            </w:r>
          </w:p>
        </w:tc>
        <w:tc>
          <w:tcPr>
            <w:tcW w:type="dxa" w:w="5213"/>
          </w:tcPr>
          <w:p>
            <w:pPr>
              <w:spacing w:after="0"/>
            </w:pPr>
            <w:r>
              <w:rPr>
                <w:sz w:val="17"/>
              </w:rPr>
              <w:t xml:space="preserve">Rs. 68,220.00</w:t>
            </w:r>
          </w:p>
        </w:tc>
      </w:tr>
      <w:tr>
        <w:tc>
          <w:tcPr>
            <w:tcW w:type="dxa" w:w="5213"/>
          </w:tcPr>
          <w:p>
            <w:pPr>
              <w:spacing w:after="0"/>
            </w:pPr>
            <w:r>
              <w:rPr>
                <w:sz w:val="17"/>
              </w:rPr>
              <w:t xml:space="preserve">Holding cost</w:t>
            </w:r>
          </w:p>
        </w:tc>
        <w:tc>
          <w:tcPr>
            <w:tcW w:type="dxa" w:w="5213"/>
          </w:tcPr>
          <w:p>
            <w:pPr>
              <w:spacing w:after="0"/>
            </w:pPr>
            <w:r>
              <w:rPr>
                <w:sz w:val="17"/>
              </w:rPr>
              <w:t xml:space="preserve">Rs. 1,975.00</w:t>
            </w:r>
          </w:p>
        </w:tc>
      </w:tr>
      <w:tr>
        <w:tc>
          <w:tcPr>
            <w:tcW w:type="dxa" w:w="5213"/>
          </w:tcPr>
          <w:p>
            <w:pPr>
              <w:spacing w:after="0"/>
            </w:pPr>
            <w:r>
              <w:rPr>
                <w:sz w:val="17"/>
              </w:rPr>
              <w:t xml:space="preserve">Shortage cost</w:t>
            </w:r>
          </w:p>
        </w:tc>
        <w:tc>
          <w:tcPr>
            <w:tcW w:type="dxa" w:w="5213"/>
          </w:tcPr>
          <w:p>
            <w:pPr>
              <w:spacing w:after="0"/>
            </w:pPr>
            <w:r>
              <w:rPr>
                <w:sz w:val="17"/>
              </w:rPr>
              <w:t xml:space="preserve">Rs. 2,800.00</w:t>
            </w:r>
          </w:p>
        </w:tc>
      </w:tr>
      <w:tr>
        <w:tc>
          <w:tcPr>
            <w:tcW w:type="dxa" w:w="5213"/>
          </w:tcPr>
          <w:p>
            <w:pPr>
              <w:spacing w:after="0"/>
            </w:pPr>
            <w:r>
              <w:rPr>
                <w:sz w:val="17"/>
              </w:rPr>
              <w:t xml:space="preserve">Ordering cost</w:t>
            </w:r>
          </w:p>
        </w:tc>
        <w:tc>
          <w:tcPr>
            <w:tcW w:type="dxa" w:w="5213"/>
          </w:tcPr>
          <w:p>
            <w:pPr>
              <w:spacing w:after="0"/>
            </w:pPr>
            <w:r>
              <w:rPr>
                <w:sz w:val="17"/>
              </w:rPr>
              <w:t xml:space="preserve">Rs. 725.00</w:t>
            </w:r>
          </w:p>
        </w:tc>
      </w:tr>
      <w:tr>
        <w:tc>
          <w:tcPr>
            <w:tcW w:type="dxa" w:w="5213"/>
          </w:tcPr>
          <w:p>
            <w:pPr>
              <w:spacing w:after="0"/>
            </w:pPr>
            <w:r>
              <w:rPr>
                <w:sz w:val="17"/>
              </w:rPr>
              <w:t xml:space="preserve">Transport cost</w:t>
            </w:r>
          </w:p>
        </w:tc>
        <w:tc>
          <w:tcPr>
            <w:tcW w:type="dxa" w:w="5213"/>
          </w:tcPr>
          <w:p>
            <w:pPr>
              <w:spacing w:after="0"/>
            </w:pPr>
            <w:r>
              <w:rPr>
                <w:sz w:val="17"/>
              </w:rPr>
              <w:t xml:space="preserve">Rs. 3,621.00</w:t>
            </w:r>
          </w:p>
        </w:tc>
      </w:tr>
      <w:tr>
        <w:tc>
          <w:tcPr>
            <w:tcW w:type="dxa" w:w="5213"/>
          </w:tcPr>
          <w:p>
            <w:pPr>
              <w:spacing w:after="0"/>
            </w:pPr>
            <w:r>
              <w:rPr>
                <w:sz w:val="17"/>
              </w:rPr>
              <w:t xml:space="preserve">Average closing inventory</w:t>
            </w:r>
          </w:p>
        </w:tc>
        <w:tc>
          <w:tcPr>
            <w:tcW w:type="dxa" w:w="5213"/>
          </w:tcPr>
          <w:p>
            <w:pPr>
              <w:spacing w:after="0"/>
            </w:pPr>
            <w:r>
              <w:rPr>
                <w:sz w:val="17"/>
              </w:rPr>
              <w:t xml:space="preserve">79.13 units</w:t>
            </w:r>
          </w:p>
        </w:tc>
      </w:tr>
      <w:tr>
        <w:tc>
          <w:tcPr>
            <w:tcW w:type="dxa" w:w="5213"/>
          </w:tcPr>
          <w:p>
            <w:pPr>
              <w:spacing w:after="0"/>
            </w:pPr>
            <w:r>
              <w:rPr>
                <w:sz w:val="17"/>
              </w:rPr>
              <w:t xml:space="preserve">Service level</w:t>
            </w:r>
          </w:p>
        </w:tc>
        <w:tc>
          <w:tcPr>
            <w:tcW w:type="dxa" w:w="5213"/>
          </w:tcPr>
          <w:p>
            <w:pPr>
              <w:spacing w:after="0"/>
            </w:pPr>
            <w:r>
              <w:rPr>
                <w:sz w:val="17"/>
              </w:rPr>
              <w:t xml:space="preserve">60.00%</w:t>
            </w:r>
          </w:p>
        </w:tc>
      </w:tr>
      <w:tr>
        <w:tc>
          <w:tcPr>
            <w:tcW w:type="dxa" w:w="5213"/>
          </w:tcPr>
          <w:p>
            <w:pPr>
              <w:spacing w:after="0"/>
            </w:pPr>
            <w:r>
              <w:rPr>
                <w:sz w:val="17"/>
              </w:rPr>
              <w:t xml:space="preserve">Manufacturing bullwhip ratio</w:t>
            </w:r>
          </w:p>
        </w:tc>
        <w:tc>
          <w:tcPr>
            <w:tcW w:type="dxa" w:w="5213"/>
          </w:tcPr>
          <w:p>
            <w:pPr>
              <w:spacing w:after="0"/>
            </w:pPr>
            <w:r>
              <w:rPr>
                <w:sz w:val="17"/>
              </w:rPr>
              <w:t xml:space="preserve">3.834</w:t>
            </w:r>
          </w:p>
        </w:tc>
      </w:tr>
    </w:tbl>
    <w:p>
      <w:r>
        <w:br w:type="page"/>
      </w:r>
    </w:p>
    <w:p>
      <w:pPr>
        <w:spacing w:before="80" w:after="40"/>
      </w:pPr>
      <w:r>
        <w:rPr>
          <w:b/>
          <w:sz w:val="24"/>
          <w:u w:val="single"/>
        </w:rPr>
        <w:t xml:space="preserve">SAMPLE SIMULATION:</w:t>
      </w:r>
    </w:p>
    <w:p>
      <w:r>
        <w:t xml:space="preserve">The sample below uses the default repeated-game configuration with adaptive strategy and mechanism. The interface accepts these inputs, runs the backend engine and displays player-level results, charts and round details.</w:t>
      </w:r>
    </w:p>
    <w:tbl>
      <w:tblPr>
        <w:tblStyle w:val="TableGrid"/>
        <w:tblW w:type="auto" w:w="0"/>
        <w:jc w:val="center"/>
        <w:tblLook w:firstColumn="1" w:firstRow="1" w:lastColumn="0" w:lastRow="0" w:noHBand="0" w:noVBand="1" w:val="04A0"/>
      </w:tblPr>
      <w:tblGrid>
        <w:gridCol w:w="5213"/>
        <w:gridCol w:w="5213"/>
      </w:tblGrid>
      <w:tr>
        <w:tc>
          <w:tcPr>
            <w:tcW w:type="dxa" w:w="5213"/>
          </w:tcPr>
          <w:p>
            <w:pPr>
              <w:spacing w:after="0"/>
            </w:pPr>
            <w:r>
              <w:rPr>
                <w:sz w:val="18"/>
              </w:rPr>
              <w:t xml:space="preserve">Product</w:t>
            </w:r>
          </w:p>
        </w:tc>
        <w:tc>
          <w:tcPr>
            <w:tcW w:type="dxa" w:w="5213"/>
          </w:tcPr>
          <w:p>
            <w:pPr>
              <w:spacing w:after="0"/>
            </w:pPr>
            <w:r>
              <w:rPr>
                <w:sz w:val="18"/>
              </w:rPr>
              <w:t xml:space="preserve">Everyday essentials</w:t>
            </w:r>
          </w:p>
        </w:tc>
      </w:tr>
      <w:tr>
        <w:tc>
          <w:tcPr>
            <w:tcW w:type="dxa" w:w="5213"/>
          </w:tcPr>
          <w:p>
            <w:pPr>
              <w:spacing w:after="0"/>
            </w:pPr>
            <w:r>
              <w:rPr>
                <w:sz w:val="18"/>
              </w:rPr>
              <w:t xml:space="preserve">Model</w:t>
            </w:r>
          </w:p>
        </w:tc>
        <w:tc>
          <w:tcPr>
            <w:tcW w:type="dxa" w:w="5213"/>
          </w:tcPr>
          <w:p>
            <w:pPr>
              <w:spacing w:after="0"/>
            </w:pPr>
            <w:r>
              <w:rPr>
                <w:sz w:val="18"/>
              </w:rPr>
              <w:t xml:space="preserve">Repeated game</w:t>
            </w:r>
          </w:p>
        </w:tc>
      </w:tr>
      <w:tr>
        <w:tc>
          <w:tcPr>
            <w:tcW w:type="dxa" w:w="5213"/>
          </w:tcPr>
          <w:p>
            <w:pPr>
              <w:spacing w:after="0"/>
            </w:pPr>
            <w:r>
              <w:rPr>
                <w:sz w:val="18"/>
              </w:rPr>
              <w:t xml:space="preserve">Strategy and mechanism</w:t>
            </w:r>
          </w:p>
        </w:tc>
        <w:tc>
          <w:tcPr>
            <w:tcW w:type="dxa" w:w="5213"/>
          </w:tcPr>
          <w:p>
            <w:pPr>
              <w:spacing w:after="0"/>
            </w:pPr>
            <w:r>
              <w:rPr>
                <w:sz w:val="18"/>
              </w:rPr>
              <w:t xml:space="preserve">Adaptive</w:t>
            </w:r>
          </w:p>
        </w:tc>
      </w:tr>
      <w:tr>
        <w:tc>
          <w:tcPr>
            <w:tcW w:type="dxa" w:w="5213"/>
          </w:tcPr>
          <w:p>
            <w:pPr>
              <w:spacing w:after="0"/>
            </w:pPr>
            <w:r>
              <w:rPr>
                <w:sz w:val="18"/>
              </w:rPr>
              <w:t xml:space="preserve">Rounds and seed</w:t>
            </w:r>
          </w:p>
        </w:tc>
        <w:tc>
          <w:tcPr>
            <w:tcW w:type="dxa" w:w="5213"/>
          </w:tcPr>
          <w:p>
            <w:pPr>
              <w:spacing w:after="0"/>
            </w:pPr>
            <w:r>
              <w:rPr>
                <w:sz w:val="18"/>
              </w:rPr>
              <w:t xml:space="preserve">30 rounds and seed 42</w:t>
            </w:r>
          </w:p>
        </w:tc>
      </w:tr>
      <w:tr>
        <w:tc>
          <w:tcPr>
            <w:tcW w:type="dxa" w:w="5213"/>
          </w:tcPr>
          <w:p>
            <w:pPr>
              <w:spacing w:after="0"/>
            </w:pPr>
            <w:r>
              <w:rPr>
                <w:sz w:val="18"/>
              </w:rPr>
              <w:t xml:space="preserve">Demand distribution</w:t>
            </w:r>
          </w:p>
        </w:tc>
        <w:tc>
          <w:tcPr>
            <w:tcW w:type="dxa" w:w="5213"/>
          </w:tcPr>
          <w:p>
            <w:pPr>
              <w:spacing w:after="0"/>
            </w:pPr>
            <w:r>
              <w:rPr>
                <w:sz w:val="18"/>
              </w:rPr>
              <w:t xml:space="preserve">Normal</w:t>
            </w:r>
          </w:p>
        </w:tc>
      </w:tr>
      <w:tr>
        <w:tc>
          <w:tcPr>
            <w:tcW w:type="dxa" w:w="5213"/>
          </w:tcPr>
          <w:p>
            <w:pPr>
              <w:spacing w:after="0"/>
            </w:pPr>
            <w:r>
              <w:rPr>
                <w:sz w:val="18"/>
              </w:rPr>
              <w:t xml:space="preserve">Base mean and deviation</w:t>
            </w:r>
          </w:p>
        </w:tc>
        <w:tc>
          <w:tcPr>
            <w:tcW w:type="dxa" w:w="5213"/>
          </w:tcPr>
          <w:p>
            <w:pPr>
              <w:spacing w:after="0"/>
            </w:pPr>
            <w:r>
              <w:rPr>
                <w:sz w:val="18"/>
              </w:rPr>
              <w:t xml:space="preserve">100 and 20 units</w:t>
            </w:r>
          </w:p>
        </w:tc>
      </w:tr>
      <w:tr>
        <w:tc>
          <w:tcPr>
            <w:tcW w:type="dxa" w:w="5213"/>
          </w:tcPr>
          <w:p>
            <w:pPr>
              <w:spacing w:after="0"/>
            </w:pPr>
            <w:r>
              <w:rPr>
                <w:sz w:val="18"/>
              </w:rPr>
              <w:t xml:space="preserve">Initial M / S / R stock</w:t>
            </w:r>
          </w:p>
        </w:tc>
        <w:tc>
          <w:tcPr>
            <w:tcW w:type="dxa" w:w="5213"/>
          </w:tcPr>
          <w:p>
            <w:pPr>
              <w:spacing w:after="0"/>
            </w:pPr>
            <w:r>
              <w:rPr>
                <w:sz w:val="18"/>
              </w:rPr>
              <w:t xml:space="preserve">150 / 120 / 100 units</w:t>
            </w:r>
          </w:p>
        </w:tc>
      </w:tr>
      <w:tr>
        <w:tc>
          <w:tcPr>
            <w:tcW w:type="dxa" w:w="5213"/>
          </w:tcPr>
          <w:p>
            <w:pPr>
              <w:spacing w:after="0"/>
            </w:pPr>
            <w:r>
              <w:rPr>
                <w:sz w:val="18"/>
              </w:rPr>
              <w:t xml:space="preserve">Manufacturing capacity</w:t>
            </w:r>
          </w:p>
        </w:tc>
        <w:tc>
          <w:tcPr>
            <w:tcW w:type="dxa" w:w="5213"/>
          </w:tcPr>
          <w:p>
            <w:pPr>
              <w:spacing w:after="0"/>
            </w:pPr>
            <w:r>
              <w:rPr>
                <w:sz w:val="18"/>
              </w:rPr>
              <w:t xml:space="preserve">180 units per round</w:t>
            </w:r>
          </w:p>
        </w:tc>
      </w:tr>
      <w:tr>
        <w:tc>
          <w:tcPr>
            <w:tcW w:type="dxa" w:w="5213"/>
          </w:tcPr>
          <w:p>
            <w:pPr>
              <w:spacing w:after="0"/>
            </w:pPr>
            <w:r>
              <w:rPr>
                <w:sz w:val="18"/>
              </w:rPr>
              <w:t xml:space="preserve">Supplier storage capacity</w:t>
            </w:r>
          </w:p>
        </w:tc>
        <w:tc>
          <w:tcPr>
            <w:tcW w:type="dxa" w:w="5213"/>
          </w:tcPr>
          <w:p>
            <w:pPr>
              <w:spacing w:after="0"/>
            </w:pPr>
            <w:r>
              <w:rPr>
                <w:sz w:val="18"/>
              </w:rPr>
              <w:t xml:space="preserve">600 units</w:t>
            </w:r>
          </w:p>
        </w:tc>
      </w:tr>
      <w:tr>
        <w:tc>
          <w:tcPr>
            <w:tcW w:type="dxa" w:w="5213"/>
          </w:tcPr>
          <w:p>
            <w:pPr>
              <w:spacing w:after="0"/>
            </w:pPr>
            <w:r>
              <w:rPr>
                <w:sz w:val="18"/>
              </w:rPr>
              <w:t xml:space="preserve">Production / wholesale price</w:t>
            </w:r>
          </w:p>
        </w:tc>
        <w:tc>
          <w:tcPr>
            <w:tcW w:type="dxa" w:w="5213"/>
          </w:tcPr>
          <w:p>
            <w:pPr>
              <w:spacing w:after="0"/>
            </w:pPr>
            <w:r>
              <w:rPr>
                <w:sz w:val="18"/>
              </w:rPr>
              <w:t xml:space="preserve">Rs. 20 / Rs. 32 per unit</w:t>
            </w:r>
          </w:p>
        </w:tc>
      </w:tr>
      <w:tr>
        <w:tc>
          <w:tcPr>
            <w:tcW w:type="dxa" w:w="5213"/>
          </w:tcPr>
          <w:p>
            <w:pPr>
              <w:spacing w:after="0"/>
            </w:pPr>
            <w:r>
              <w:rPr>
                <w:sz w:val="18"/>
              </w:rPr>
              <w:t xml:space="preserve">Supplier / retail price</w:t>
            </w:r>
          </w:p>
        </w:tc>
        <w:tc>
          <w:tcPr>
            <w:tcW w:type="dxa" w:w="5213"/>
          </w:tcPr>
          <w:p>
            <w:pPr>
              <w:spacing w:after="0"/>
            </w:pPr>
            <w:r>
              <w:rPr>
                <w:sz w:val="18"/>
              </w:rPr>
              <w:t xml:space="preserve">Rs. 45 / Rs. 70 per unit</w:t>
            </w:r>
          </w:p>
        </w:tc>
      </w:tr>
      <w:tr>
        <w:tc>
          <w:tcPr>
            <w:tcW w:type="dxa" w:w="5213"/>
          </w:tcPr>
          <w:p>
            <w:pPr>
              <w:spacing w:after="0"/>
            </w:pPr>
            <w:r>
              <w:rPr>
                <w:sz w:val="18"/>
              </w:rPr>
              <w:t xml:space="preserve">Safety stock / reorder point</w:t>
            </w:r>
          </w:p>
        </w:tc>
        <w:tc>
          <w:tcPr>
            <w:tcW w:type="dxa" w:w="5213"/>
          </w:tcPr>
          <w:p>
            <w:pPr>
              <w:spacing w:after="0"/>
            </w:pPr>
            <w:r>
              <w:rPr>
                <w:sz w:val="18"/>
              </w:rPr>
              <w:t xml:space="preserve">30 / 100 units</w:t>
            </w:r>
          </w:p>
        </w:tc>
      </w:tr>
      <w:tr>
        <w:tc>
          <w:tcPr>
            <w:tcW w:type="dxa" w:w="5213"/>
          </w:tcPr>
          <w:p>
            <w:pPr>
              <w:spacing w:after="0"/>
            </w:pPr>
            <w:r>
              <w:t xml:space="preserve">Discount factor</w:t>
            </w:r>
          </w:p>
        </w:tc>
        <w:tc>
          <w:tcPr>
            <w:tcW w:type="dxa" w:w="5213"/>
          </w:tcPr>
          <w:p>
            <w:pPr>
              <w:spacing w:after="0"/>
            </w:pPr>
            <w:r>
              <w:t xml:space="preserve">0.95</w:t>
            </w:r>
          </w:p>
        </w:tc>
      </w:tr>
    </w:tbl>
    <w:p>
      <w:pPr>
        <w:jc w:val="center"/>
      </w:pPr>
      <w:r>
        <w:rPr>
          <w:b/>
          <w:sz w:val="24"/>
        </w:rPr>
        <w:t xml:space="preserve">Total Chain Profit = Rs. 183,129.00</w:t>
      </w:r>
    </w:p>
    <w:p>
      <w:pPr>
        <w:jc w:val="center"/>
      </w:pPr>
      <w:r>
        <w:rPr>
          <w:b/>
          <w:sz w:val="24"/>
        </w:rPr>
        <w:t xml:space="preserve">Fulfilled Demand = 3,721 units and Fill Rate = 96.37%</w:t>
      </w:r>
    </w:p>
    <w:p>
      <w:pPr>
        <w:spacing w:before="80" w:after="40"/>
      </w:pPr>
      <w:r>
        <w:rPr>
          <w:b/>
          <w:sz w:val="24"/>
          <w:u w:val="single"/>
        </w:rPr>
        <w:t xml:space="preserve">CODE FOR SINGLE SIMULATION:</w:t>
      </w:r>
    </w:p>
    <w:p>
      <w:pPr>
        <w:pStyle w:val="CodeBlock"/>
        <w:ind w:left="115" w:right="115"/>
        <w:shd w:fill="F1F1F1"/>
      </w:pPr>
      <w:r>
        <w:t xml:space="preserve"># Run from the backend directory after installing requirements.</w:t>
      </w:r>
    </w:p>
    <w:p>
      <w:pPr>
        <w:pStyle w:val="CodeBlock"/>
        <w:ind w:left="115" w:right="115"/>
        <w:shd w:fill="F1F1F1"/>
      </w:pPr>
      <w:r>
        <w:t xml:space="preserve">from app.models import Config</w:t>
      </w:r>
    </w:p>
    <w:p>
      <w:pPr>
        <w:pStyle w:val="CodeBlock"/>
        <w:ind w:left="115" w:right="115"/>
        <w:shd w:fill="F1F1F1"/>
      </w:pPr>
      <w:r>
        <w:t xml:space="preserve">from app.simulation import simulate</w:t>
      </w:r>
    </w:p>
    <w:p>
      <w:pPr>
        <w:pStyle w:val="CodeBlock"/>
        <w:ind w:left="115" w:right="115"/>
        <w:shd w:fill="F1F1F1"/>
      </w:pPr>
      <w:r>
        <w:t xml:space="preserve"/>
      </w:r>
    </w:p>
    <w:p>
      <w:pPr>
        <w:pStyle w:val="CodeBlock"/>
        <w:ind w:left="115" w:right="115"/>
        <w:shd w:fill="F1F1F1"/>
      </w:pPr>
      <w:r>
        <w:t xml:space="preserve">config = Config(</w:t>
      </w:r>
    </w:p>
    <w:p>
      <w:pPr>
        <w:pStyle w:val="CodeBlock"/>
        <w:ind w:left="115" w:right="115"/>
        <w:shd w:fill="F1F1F1"/>
      </w:pPr>
      <w:r>
        <w:t xml:space="preserve">    rounds=30, seed=42, game_type="repeated",</w:t>
      </w:r>
    </w:p>
    <w:p>
      <w:pPr>
        <w:pStyle w:val="CodeBlock"/>
        <w:ind w:left="115" w:right="115"/>
        <w:shd w:fill="F1F1F1"/>
      </w:pPr>
      <w:r>
        <w:t xml:space="preserve">    strategy="adaptive", mechanism="adaptive",</w:t>
      </w:r>
    </w:p>
    <w:p>
      <w:pPr>
        <w:pStyle w:val="CodeBlock"/>
        <w:ind w:left="115" w:right="115"/>
        <w:shd w:fill="F1F1F1"/>
      </w:pPr>
      <w:r>
        <w:t xml:space="preserve">    demand_mean=100, demand_std=20,</w:t>
      </w:r>
    </w:p>
    <w:p>
      <w:pPr>
        <w:pStyle w:val="CodeBlock"/>
        <w:ind w:left="115" w:right="115"/>
        <w:shd w:fill="F1F1F1"/>
      </w:pPr>
      <w:r>
        <w:t xml:space="preserve">    capacity=180, safety_stock=30,</w:t>
      </w:r>
    </w:p>
    <w:p>
      <w:pPr>
        <w:pStyle w:val="CodeBlock"/>
        <w:ind w:left="115" w:right="115"/>
        <w:shd w:fill="F1F1F1"/>
      </w:pPr>
      <w:r>
        <w:t xml:space="preserve">)</w:t>
      </w:r>
    </w:p>
    <w:p>
      <w:pPr>
        <w:pStyle w:val="CodeBlock"/>
        <w:ind w:left="115" w:right="115"/>
        <w:shd w:fill="F1F1F1"/>
      </w:pPr>
      <w:r>
        <w:t xml:space="preserve">result = simulate(config)</w:t>
      </w:r>
    </w:p>
    <w:p>
      <w:pPr>
        <w:pStyle w:val="CodeBlock"/>
        <w:ind w:left="115" w:right="115"/>
        <w:shd w:fill="F1F1F1"/>
      </w:pPr>
      <w:r>
        <w:t xml:space="preserve">s = result["summary"]</w:t>
      </w:r>
    </w:p>
    <w:p>
      <w:pPr>
        <w:pStyle w:val="CodeBlock"/>
        <w:ind w:left="115" w:right="115"/>
        <w:shd w:fill="F1F1F1"/>
      </w:pPr>
      <w:r>
        <w:t xml:space="preserve">print(f"Total profit: {s['total_profit']:.2f}")</w:t>
      </w:r>
    </w:p>
    <w:p>
      <w:pPr>
        <w:pStyle w:val="CodeBlock"/>
        <w:ind w:left="115" w:right="115"/>
        <w:shd w:fill="F1F1F1"/>
      </w:pPr>
      <w:r>
        <w:t xml:space="preserve">print(f"Fulfilled: {s['fulfilled']} units")</w:t>
      </w:r>
    </w:p>
    <w:p>
      <w:pPr>
        <w:pStyle w:val="CodeBlock"/>
        <w:ind w:left="115" w:right="115"/>
        <w:shd w:fill="F1F1F1"/>
      </w:pPr>
      <w:r>
        <w:t xml:space="preserve">print(f"Fill rate: {s['fill_rate']:.2%}")</w:t>
      </w:r>
    </w:p>
    <w:p>
      <w:pPr>
        <w:spacing w:before="80" w:after="40"/>
      </w:pPr>
      <w:r>
        <w:rPr>
          <w:b/>
          <w:sz w:val="24"/>
          <w:u w:val="single"/>
        </w:rPr>
        <w:t xml:space="preserve">ADVANTAGES:</w:t>
      </w:r>
    </w:p>
    <w:p>
      <w:pPr>
        <w:spacing w:after="30"/>
        <w:ind w:left="374" w:hanging="230"/>
      </w:pPr>
      <w:r>
        <w:rPr>
          <w:b/>
        </w:rPr>
        <w:t xml:space="preserve">• </w:t>
      </w:r>
      <w:r>
        <w:t xml:space="preserve">Represents three interacting supply-chain players in a single simulation.</w:t>
      </w:r>
    </w:p>
    <w:p>
      <w:pPr>
        <w:spacing w:after="30"/>
        <w:ind w:left="374" w:hanging="230"/>
      </w:pPr>
      <w:r>
        <w:rPr>
          <w:b/>
        </w:rPr>
        <w:t xml:space="preserve">• </w:t>
      </w:r>
      <w:r>
        <w:t xml:space="preserve">Validates inputs and preserves inventory and financial accounting.</w:t>
      </w:r>
    </w:p>
    <w:p>
      <w:pPr>
        <w:spacing w:after="30"/>
        <w:ind w:left="374" w:hanging="230"/>
      </w:pPr>
      <w:r>
        <w:rPr>
          <w:b/>
        </w:rPr>
        <w:t xml:space="preserve">• </w:t>
      </w:r>
      <w:r>
        <w:t xml:space="preserve">Compares three policies using exactly the same demand trajectory.</w:t>
      </w:r>
    </w:p>
    <w:p>
      <w:pPr>
        <w:spacing w:after="30"/>
        <w:ind w:left="374" w:hanging="230"/>
      </w:pPr>
      <w:r>
        <w:rPr>
          <w:b/>
        </w:rPr>
        <w:t xml:space="preserve">• </w:t>
      </w:r>
      <w:r>
        <w:t xml:space="preserve">Shows profit, availability, cost and inventory trade-offs with charts.</w:t>
      </w:r>
    </w:p>
    <w:p>
      <w:pPr>
        <w:spacing w:after="30"/>
        <w:ind w:left="374" w:hanging="230"/>
      </w:pPr>
      <w:r>
        <w:rPr>
          <w:b/>
        </w:rPr>
        <w:t xml:space="preserve">• </w:t>
      </w:r>
      <w:r>
        <w:t xml:space="preserve">Supports repeatable experiments across multiple random seeds.</w:t>
      </w:r>
    </w:p>
    <w:p>
      <w:pPr>
        <w:spacing w:after="30"/>
        <w:ind w:left="374" w:hanging="230"/>
      </w:pPr>
      <w:r>
        <w:rPr>
          <w:b/>
        </w:rPr>
        <w:t xml:space="preserve">• </w:t>
      </w:r>
      <w:r>
        <w:t xml:space="preserve">Stores individual runs in SQLite and exports round CSV or full JSON.</w:t>
      </w:r>
    </w:p>
    <w:p>
      <w:pPr>
        <w:spacing w:before="80" w:after="40"/>
      </w:pPr>
      <w:r>
        <w:rPr>
          <w:b/>
          <w:sz w:val="24"/>
          <w:u w:val="single"/>
        </w:rPr>
        <w:t xml:space="preserve">LIMITATIONS:</w:t>
      </w:r>
    </w:p>
    <w:p>
      <w:pPr>
        <w:spacing w:after="30"/>
        <w:ind w:left="374" w:hanging="230"/>
      </w:pPr>
      <w:r>
        <w:rPr>
          <w:b/>
        </w:rPr>
        <w:t xml:space="preserve">• </w:t>
      </w:r>
      <w:r>
        <w:t xml:space="preserve">Demand is synthetic; outcomes are not validated against a real supply chain.</w:t>
      </w:r>
    </w:p>
    <w:p>
      <w:pPr>
        <w:spacing w:after="30"/>
        <w:ind w:left="374" w:hanging="230"/>
      </w:pPr>
      <w:r>
        <w:rPr>
          <w:b/>
        </w:rPr>
        <w:t xml:space="preserve">• </w:t>
      </w:r>
      <w:r>
        <w:t xml:space="preserve">Only one product is modeled per run, with fixed prices and immediate deliveries.</w:t>
      </w:r>
    </w:p>
    <w:p>
      <w:pPr>
        <w:spacing w:after="30"/>
        <w:ind w:left="374" w:hanging="230"/>
      </w:pPr>
      <w:r>
        <w:rPr>
          <w:b/>
        </w:rPr>
        <w:t xml:space="preserve">• </w:t>
      </w:r>
      <w:r>
        <w:t xml:space="preserve">Unmet demand is lost; backorders and final salvage value are not modeled.</w:t>
      </w:r>
    </w:p>
    <w:p>
      <w:pPr>
        <w:spacing w:after="30"/>
        <w:ind w:left="374" w:hanging="230"/>
      </w:pPr>
      <w:r>
        <w:rPr>
          <w:b/>
        </w:rPr>
        <w:t xml:space="preserve">• </w:t>
      </w:r>
      <w:r>
        <w:t xml:space="preserve">Repeated play uses heuristics and does not prove a dynamic equilibrium.</w:t>
      </w:r>
    </w:p>
    <w:p>
      <w:pPr>
        <w:spacing w:after="30"/>
        <w:ind w:left="374" w:hanging="230"/>
      </w:pPr>
      <w:r>
        <w:rPr>
          <w:b/>
        </w:rPr>
        <w:t xml:space="preserve">• </w:t>
      </w:r>
      <w:r>
        <w:t xml:space="preserve">Bayesian players share a public signal and evaluate state centers rather than all demand noise.</w:t>
      </w:r>
    </w:p>
    <w:p>
      <w:pPr>
        <w:spacing w:before="80" w:after="40"/>
      </w:pPr>
      <w:r>
        <w:rPr>
          <w:b/>
          <w:sz w:val="24"/>
          <w:u w:val="single"/>
        </w:rPr>
        <w:t xml:space="preserve">POSSIBLE IMPROVEMENTS:</w:t>
      </w:r>
    </w:p>
    <w:p>
      <w:pPr>
        <w:spacing w:after="30"/>
        <w:ind w:left="374" w:hanging="230"/>
      </w:pPr>
      <w:r>
        <w:rPr>
          <w:b/>
        </w:rPr>
        <w:t xml:space="preserve">• </w:t>
      </w:r>
      <w:r>
        <w:t xml:space="preserve">Calibrate demand and cost settings using real operational records.</w:t>
      </w:r>
    </w:p>
    <w:p>
      <w:pPr>
        <w:spacing w:after="30"/>
        <w:ind w:left="374" w:hanging="230"/>
      </w:pPr>
      <w:r>
        <w:rPr>
          <w:b/>
        </w:rPr>
        <w:t xml:space="preserve">• </w:t>
      </w:r>
      <w:r>
        <w:t xml:space="preserve">Add shipment lead times and outstanding-order tracking.</w:t>
      </w:r>
    </w:p>
    <w:p>
      <w:pPr>
        <w:spacing w:after="30"/>
        <w:ind w:left="374" w:hanging="230"/>
      </w:pPr>
      <w:r>
        <w:rPr>
          <w:b/>
        </w:rPr>
        <w:t xml:space="preserve">• </w:t>
      </w:r>
      <w:r>
        <w:t xml:space="preserve">Support multiple products and shared production constraints.</w:t>
      </w:r>
    </w:p>
    <w:p>
      <w:pPr>
        <w:spacing w:after="30"/>
        <w:ind w:left="374" w:hanging="230"/>
      </w:pPr>
      <w:r>
        <w:rPr>
          <w:b/>
        </w:rPr>
        <w:t xml:space="preserve">• </w:t>
      </w:r>
      <w:r>
        <w:t xml:space="preserve">Introduce private demand signals and heterogeneous player beliefs.</w:t>
      </w:r>
    </w:p>
    <w:p>
      <w:pPr>
        <w:spacing w:after="30"/>
        <w:ind w:left="374" w:hanging="230"/>
      </w:pPr>
      <w:r>
        <w:rPr>
          <w:b/>
        </w:rPr>
        <w:t xml:space="preserve">• </w:t>
      </w:r>
      <w:r>
        <w:t xml:space="preserve">Extend the payoff analysis to mixed or formally solved dynamic equilibria.</w:t>
      </w:r>
    </w:p>
    <w:p>
      <w:pPr>
        <w:spacing w:after="30"/>
        <w:ind w:left="374" w:hanging="230"/>
      </w:pPr>
      <w:r>
        <w:rPr>
          <w:b/>
        </w:rPr>
        <w:t xml:space="preserve">• </w:t>
      </w:r>
      <w:r>
        <w:t xml:space="preserve">Add multi-user access only when shared deployment is needed.</w:t>
      </w:r>
    </w:p>
    <w:p>
      <w:pPr>
        <w:spacing w:after="30"/>
        <w:ind w:left="374" w:hanging="230"/>
      </w:pPr>
      <w:r>
        <w:rPr>
          <w:b/>
        </w:rPr>
        <w:t xml:space="preserve">• </w:t>
      </w:r>
      <w:r>
        <w:t xml:space="preserve">Evaluate policy performance across more demand settings and random seeds.</w:t>
      </w:r>
    </w:p>
    <w:p>
      <w:pPr>
        <w:spacing w:before="80" w:after="40"/>
      </w:pPr>
      <w:r>
        <w:rPr>
          <w:b/>
          <w:sz w:val="24"/>
          <w:u w:val="single"/>
        </w:rPr>
        <w:t xml:space="preserve">CONCLUSION:</w:t>
      </w:r>
    </w:p>
    <w:p>
      <w:r>
        <w:t xml:space="preserve">The Supply Chain Inventory Optimization Using Game Theory mini project demonstrates a complete simulation workflow from validated configuration to demand generation, player decisions, inventory updates, financial accounting and visual analysis. In the default 30-round seeded comparison, repeated play earns the highest total-chain profit and fulfills more demand than baseline and Bayesian play. This result is specific to the tested configuration and does not prove that one policy always performs best. The application supports reproducible comparisons, Bayesian belief updates, pure Nash analysis, local history and CSV or JSON exports. Further development can introduce lead times, real demand observations and formally solved dynamic games.</w:t>
      </w:r>
    </w:p>
    <w:sectPr w:rsidR="00FC693F" w:rsidRPr="0006063C" w:rsidSect="00034616">
      <w:footerReference w:type="default" r:id="rId15"/>
      <w:pgSz w:w="12240" w:h="15840"/>
      <w:pgMar w:top="691" w:right="907" w:bottom="792"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Supply Chain Inventory Optimization Using Game Theory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pPr>
    <w:rPr>
      <w:rFonts w:ascii="Consolas" w:hAnsi="Consolas" w:eastAsia="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