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75B6"/>
          <w:sz w:val="20"/>
          <w:szCs w:val="20"/>
        </w:rPr>
        <w:t xml:space="preserve">INTERNATIONAL AI BUILDERS CONGRESS 2026</w:t>
      </w:r>
    </w:p>
    <w:p>
      <w:pPr>
        <w:spacing w:after="80"/>
        <w:jc w:val="center"/>
      </w:pPr>
      <w:r>
        <w:rPr>
          <w:b/>
          <w:bCs/>
          <w:color w:val="1F3864"/>
          <w:sz w:val="40"/>
          <w:szCs w:val="40"/>
        </w:rPr>
        <w:t xml:space="preserve">Idea to Unicorn — Submission Phases &amp; Requirements</w:t>
      </w:r>
    </w:p>
    <w:p>
      <w:pPr>
        <w:spacing w:after="260"/>
        <w:jc w:val="center"/>
      </w:pPr>
      <w:r>
        <w:rPr>
          <w:i/>
          <w:iCs/>
          <w:color w:val="595959"/>
          <w:sz w:val="19"/>
          <w:szCs w:val="19"/>
        </w:rPr>
        <w:t xml:space="preserve">Track: Idea to Unicorn  |  Domain: ClimateSphere AI  |  Challenge: Energy Brain</w:t>
      </w:r>
    </w:p>
    <w:p>
      <w:pPr>
        <w:spacing w:after="120" w:line="300"/>
      </w:pPr>
      <w:r>
        <w:rPr>
          <w:i w:val="false"/>
          <w:iCs w:val="false"/>
          <w:color w:val="1A1A1A"/>
          <w:sz w:val="21"/>
          <w:szCs w:val="21"/>
        </w:rPr>
        <w:t xml:space="preserve">This guide pulls together the three official milestone dates for the Idea to Unicorn track from the Participants Guide's authoritative program timeline, plus exactly what has to be submitted (or is simply announced) at each one.</w:t>
      </w:r>
    </w:p>
    <w:p>
      <w:pPr>
        <w:pStyle w:val="Heading2"/>
        <w:spacing w:after="120" w:before="320"/>
      </w:pPr>
      <w:r>
        <w:rPr>
          <w:b/>
          <w:bCs/>
          <w:color w:val="2E75B6"/>
          <w:sz w:val="25"/>
          <w:szCs w:val="25"/>
        </w:rPr>
        <w:t xml:space="preserve">Quick Reference</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400"/>
        <w:gridCol w:w="4646"/>
      </w:tblGrid>
      <w:tr>
        <w:trPr>
          <w:tblHeader/>
        </w:trPr>
        <w:tc>
          <w:tcPr>
            <w:tcW w:type="dxa" w:w="2700"/>
            <w:shd w:fill="1F3864" w:val="clear"/>
            <w:tcMar>
              <w:top w:type="dxa" w:w="100"/>
              <w:left w:type="dxa" w:w="140"/>
              <w:bottom w:type="dxa" w:w="100"/>
              <w:right w:type="dxa" w:w="140"/>
            </w:tcMar>
            <w:vAlign w:val="center"/>
          </w:tcPr>
          <w:p>
            <w:r>
              <w:rPr>
                <w:b/>
                <w:bCs/>
                <w:color w:val="FFFFFF"/>
                <w:sz w:val="20"/>
                <w:szCs w:val="20"/>
              </w:rPr>
              <w:t xml:space="preserve">Phase</w:t>
            </w:r>
          </w:p>
        </w:tc>
        <w:tc>
          <w:tcPr>
            <w:tcW w:type="dxa" w:w="2400"/>
            <w:shd w:fill="1F3864" w:val="clear"/>
            <w:tcMar>
              <w:top w:type="dxa" w:w="100"/>
              <w:left w:type="dxa" w:w="140"/>
              <w:bottom w:type="dxa" w:w="100"/>
              <w:right w:type="dxa" w:w="140"/>
            </w:tcMar>
            <w:vAlign w:val="center"/>
          </w:tcPr>
          <w:p>
            <w:r>
              <w:rPr>
                <w:b/>
                <w:bCs/>
                <w:color w:val="FFFFFF"/>
                <w:sz w:val="20"/>
                <w:szCs w:val="20"/>
              </w:rPr>
              <w:t xml:space="preserve">Date (BST)</w:t>
            </w:r>
          </w:p>
        </w:tc>
        <w:tc>
          <w:tcPr>
            <w:tcW w:type="dxa" w:w="4646"/>
            <w:shd w:fill="1F3864" w:val="clear"/>
            <w:tcMar>
              <w:top w:type="dxa" w:w="100"/>
              <w:left w:type="dxa" w:w="140"/>
              <w:bottom w:type="dxa" w:w="100"/>
              <w:right w:type="dxa" w:w="140"/>
            </w:tcMar>
            <w:vAlign w:val="center"/>
          </w:tcPr>
          <w:p>
            <w:r>
              <w:rPr>
                <w:b/>
                <w:bCs/>
                <w:color w:val="FFFFFF"/>
                <w:sz w:val="20"/>
                <w:szCs w:val="20"/>
              </w:rPr>
              <w:t xml:space="preserve">What's Due</w:t>
            </w:r>
          </w:p>
        </w:tc>
      </w:tr>
      <w:tr>
        <w:tc>
          <w:tcPr>
            <w:tcW w:type="dxa" w:w="2700"/>
            <w:shd w:fill="F2F6FA" w:val="clear"/>
            <w:tcMar>
              <w:top w:type="dxa" w:w="100"/>
              <w:left w:type="dxa" w:w="140"/>
              <w:bottom w:type="dxa" w:w="100"/>
              <w:right w:type="dxa" w:w="140"/>
            </w:tcMar>
            <w:vAlign w:val="center"/>
          </w:tcPr>
          <w:p>
            <w:r>
              <w:rPr>
                <w:b/>
                <w:bCs/>
                <w:color w:val="000000"/>
                <w:sz w:val="20"/>
                <w:szCs w:val="20"/>
              </w:rPr>
              <w:t xml:space="preserve">1. Preliminary Submission Opens</w:t>
            </w:r>
          </w:p>
        </w:tc>
        <w:tc>
          <w:tcPr>
            <w:tcW w:type="dxa" w:w="2400"/>
            <w:shd w:fill="F2F6FA" w:val="clear"/>
            <w:tcMar>
              <w:top w:type="dxa" w:w="100"/>
              <w:left w:type="dxa" w:w="140"/>
              <w:bottom w:type="dxa" w:w="100"/>
              <w:right w:type="dxa" w:w="140"/>
            </w:tcMar>
            <w:vAlign w:val="center"/>
          </w:tcPr>
          <w:p>
            <w:r>
              <w:rPr>
                <w:b w:val="false"/>
                <w:bCs w:val="false"/>
                <w:color w:val="000000"/>
                <w:sz w:val="20"/>
                <w:szCs w:val="20"/>
              </w:rPr>
              <w:t xml:space="preserve">Aug 1, 2026, 12:00 PM</w:t>
            </w:r>
          </w:p>
        </w:tc>
        <w:tc>
          <w:tcPr>
            <w:tcW w:type="dxa" w:w="4646"/>
            <w:shd w:fill="F2F6FA" w:val="clear"/>
            <w:tcMar>
              <w:top w:type="dxa" w:w="100"/>
              <w:left w:type="dxa" w:w="140"/>
              <w:bottom w:type="dxa" w:w="100"/>
              <w:right w:type="dxa" w:w="140"/>
            </w:tcMar>
            <w:vAlign w:val="center"/>
          </w:tcPr>
          <w:p>
            <w:r>
              <w:rPr>
                <w:b w:val="false"/>
                <w:bCs w:val="false"/>
                <w:color w:val="000000"/>
                <w:sz w:val="20"/>
                <w:szCs w:val="20"/>
              </w:rPr>
              <w:t xml:space="preserve">Nothing yet — window opens, start preparing</w:t>
            </w:r>
          </w:p>
        </w:tc>
      </w:tr>
      <w:tr>
        <w:tc>
          <w:tcPr>
            <w:tcW w:type="dxa" w:w="2700"/>
            <w:tcMar>
              <w:top w:type="dxa" w:w="100"/>
              <w:left w:type="dxa" w:w="140"/>
              <w:bottom w:type="dxa" w:w="100"/>
              <w:right w:type="dxa" w:w="140"/>
            </w:tcMar>
            <w:vAlign w:val="center"/>
          </w:tcPr>
          <w:p>
            <w:r>
              <w:rPr>
                <w:b/>
                <w:bCs/>
                <w:color w:val="000000"/>
                <w:sz w:val="20"/>
                <w:szCs w:val="20"/>
              </w:rPr>
              <w:t xml:space="preserve">2. Preliminary Submission Deadline</w:t>
            </w:r>
          </w:p>
        </w:tc>
        <w:tc>
          <w:tcPr>
            <w:tcW w:type="dxa" w:w="2400"/>
            <w:tcMar>
              <w:top w:type="dxa" w:w="100"/>
              <w:left w:type="dxa" w:w="140"/>
              <w:bottom w:type="dxa" w:w="100"/>
              <w:right w:type="dxa" w:w="140"/>
            </w:tcMar>
            <w:vAlign w:val="center"/>
          </w:tcPr>
          <w:p>
            <w:r>
              <w:rPr>
                <w:b w:val="false"/>
                <w:bCs w:val="false"/>
                <w:color w:val="000000"/>
                <w:sz w:val="20"/>
                <w:szCs w:val="20"/>
              </w:rPr>
              <w:t xml:space="preserve">Oct 31, 2026, 12:00 PM</w:t>
            </w:r>
          </w:p>
        </w:tc>
        <w:tc>
          <w:tcPr>
            <w:tcW w:type="dxa" w:w="4646"/>
            <w:tcMar>
              <w:top w:type="dxa" w:w="100"/>
              <w:left w:type="dxa" w:w="140"/>
              <w:bottom w:type="dxa" w:w="100"/>
              <w:right w:type="dxa" w:w="140"/>
            </w:tcMar>
            <w:vAlign w:val="center"/>
          </w:tcPr>
          <w:p>
            <w:r>
              <w:rPr>
                <w:b w:val="false"/>
                <w:bCs w:val="false"/>
                <w:color w:val="000000"/>
                <w:sz w:val="20"/>
                <w:szCs w:val="20"/>
              </w:rPr>
              <w:t xml:space="preserve">3-min video pitch + full submission package</w:t>
            </w:r>
          </w:p>
        </w:tc>
      </w:tr>
      <w:tr>
        <w:tc>
          <w:tcPr>
            <w:tcW w:type="dxa" w:w="2700"/>
            <w:shd w:fill="F2F6FA" w:val="clear"/>
            <w:tcMar>
              <w:top w:type="dxa" w:w="100"/>
              <w:left w:type="dxa" w:w="140"/>
              <w:bottom w:type="dxa" w:w="100"/>
              <w:right w:type="dxa" w:w="140"/>
            </w:tcMar>
            <w:vAlign w:val="center"/>
          </w:tcPr>
          <w:p>
            <w:r>
              <w:rPr>
                <w:b/>
                <w:bCs/>
                <w:color w:val="000000"/>
                <w:sz w:val="20"/>
                <w:szCs w:val="20"/>
              </w:rPr>
              <w:t xml:space="preserve">3. Preliminary Selection Announcement</w:t>
            </w:r>
          </w:p>
        </w:tc>
        <w:tc>
          <w:tcPr>
            <w:tcW w:type="dxa" w:w="2400"/>
            <w:shd w:fill="F2F6FA" w:val="clear"/>
            <w:tcMar>
              <w:top w:type="dxa" w:w="100"/>
              <w:left w:type="dxa" w:w="140"/>
              <w:bottom w:type="dxa" w:w="100"/>
              <w:right w:type="dxa" w:w="140"/>
            </w:tcMar>
            <w:vAlign w:val="center"/>
          </w:tcPr>
          <w:p>
            <w:r>
              <w:rPr>
                <w:b w:val="false"/>
                <w:bCs w:val="false"/>
                <w:color w:val="000000"/>
                <w:sz w:val="20"/>
                <w:szCs w:val="20"/>
              </w:rPr>
              <w:t xml:space="preserve">Nov 15, 2026</w:t>
            </w:r>
          </w:p>
        </w:tc>
        <w:tc>
          <w:tcPr>
            <w:tcW w:type="dxa" w:w="4646"/>
            <w:shd w:fill="F2F6FA" w:val="clear"/>
            <w:tcMar>
              <w:top w:type="dxa" w:w="100"/>
              <w:left w:type="dxa" w:w="140"/>
              <w:bottom w:type="dxa" w:w="100"/>
              <w:right w:type="dxa" w:w="140"/>
            </w:tcMar>
            <w:vAlign w:val="center"/>
          </w:tcPr>
          <w:p>
            <w:r>
              <w:rPr>
                <w:b w:val="false"/>
                <w:bCs w:val="false"/>
                <w:color w:val="000000"/>
                <w:sz w:val="20"/>
                <w:szCs w:val="20"/>
              </w:rPr>
              <w:t xml:space="preserve">Nothing — results announced, no action from you</w:t>
            </w:r>
          </w:p>
        </w:tc>
      </w:tr>
    </w:tbl>
    <w:p>
      <w:pPr>
        <w:pStyle w:val="Heading1"/>
        <w:pBdr>
          <w:bottom w:val="single" w:color="2E75B6" w:sz="6" w:space="6"/>
        </w:pBdr>
        <w:spacing w:after="160" w:before="200"/>
      </w:pPr>
      <w:r>
        <w:rPr>
          <w:b/>
          <w:bCs/>
          <w:color w:val="1F3864"/>
          <w:sz w:val="30"/>
          <w:szCs w:val="30"/>
        </w:rPr>
        <w:t xml:space="preserve">Phase 1 — Preliminary Submission Opens</w:t>
      </w:r>
    </w:p>
    <w:p>
      <w:pPr>
        <w:spacing w:after="140"/>
      </w:pPr>
      <w:r>
        <w:rPr>
          <w:b/>
          <w:bCs/>
          <w:color w:val="1F3864"/>
          <w:sz w:val="22"/>
          <w:szCs w:val="22"/>
        </w:rPr>
        <w:t xml:space="preserve">August 1, 2026 — 12:00 PM BST</w:t>
      </w:r>
    </w:p>
    <w:p>
      <w:pPr>
        <w:spacing w:after="120" w:line="300"/>
      </w:pPr>
      <w:r>
        <w:rPr>
          <w:i w:val="false"/>
          <w:iCs w:val="false"/>
          <w:color w:val="1A1A1A"/>
          <w:sz w:val="21"/>
          <w:szCs w:val="21"/>
        </w:rPr>
        <w:t xml:space="preserve">This is when the preliminary submission window opens for Idea to Unicorn teams, marking the start of Phase 1 (“Learn &amp; Design”) in the six-month journey. Nothing is due on this date itself — it's your green light to start assembling the package you'll submit by October 31.</w:t>
      </w:r>
    </w:p>
    <w:p>
      <w:pPr>
        <w:spacing w:after="80" w:before="200"/>
      </w:pPr>
      <w:r>
        <w:rPr>
          <w:b/>
          <w:bCs/>
          <w:color w:val="1F3864"/>
          <w:sz w:val="21"/>
          <w:szCs w:val="21"/>
        </w:rPr>
        <w:t xml:space="preserve">What your submission package must eventually cover (Section 9.1)</w:t>
      </w:r>
    </w:p>
    <w:p>
      <w:pPr>
        <w:pStyle w:val="ListParagraph"/>
        <w:numPr>
          <w:ilvl w:val="0"/>
          <w:numId w:val="2"/>
        </w:numPr>
        <w:spacing w:after="60" w:line="280"/>
      </w:pPr>
      <w:r>
        <w:rPr>
          <w:b w:val="false"/>
          <w:bCs w:val="false"/>
          <w:sz w:val="21"/>
          <w:szCs w:val="21"/>
        </w:rPr>
        <w:t xml:space="preserve">Problem Definition — the problem, target users, and real-world need addressed</w:t>
      </w:r>
    </w:p>
    <w:p>
      <w:pPr>
        <w:pStyle w:val="ListParagraph"/>
        <w:numPr>
          <w:ilvl w:val="0"/>
          <w:numId w:val="2"/>
        </w:numPr>
        <w:spacing w:after="60" w:line="280"/>
      </w:pPr>
      <w:r>
        <w:rPr>
          <w:b w:val="false"/>
          <w:bCs w:val="false"/>
          <w:sz w:val="21"/>
          <w:szCs w:val="21"/>
        </w:rPr>
        <w:t xml:space="preserve">AI Architecture — system architecture: input sources, models, pipelines, outputs</w:t>
      </w:r>
    </w:p>
    <w:p>
      <w:pPr>
        <w:pStyle w:val="ListParagraph"/>
        <w:numPr>
          <w:ilvl w:val="0"/>
          <w:numId w:val="2"/>
        </w:numPr>
        <w:spacing w:after="60" w:line="280"/>
      </w:pPr>
      <w:r>
        <w:rPr>
          <w:b w:val="false"/>
          <w:bCs w:val="false"/>
          <w:sz w:val="21"/>
          <w:szCs w:val="21"/>
        </w:rPr>
        <w:t xml:space="preserve">Data &amp; Sovereignty Strategy — data sources, preparation, privacy, governance, ownership</w:t>
      </w:r>
    </w:p>
    <w:p>
      <w:pPr>
        <w:pStyle w:val="ListParagraph"/>
        <w:numPr>
          <w:ilvl w:val="0"/>
          <w:numId w:val="2"/>
        </w:numPr>
        <w:spacing w:after="60" w:line="280"/>
      </w:pPr>
      <w:r>
        <w:rPr>
          <w:b w:val="false"/>
          <w:bCs w:val="false"/>
          <w:sz w:val="21"/>
          <w:szCs w:val="21"/>
        </w:rPr>
        <w:t xml:space="preserve">Demo (Live or Recorded) — a working demonstration in a real user scenario</w:t>
      </w:r>
    </w:p>
    <w:p>
      <w:pPr>
        <w:pStyle w:val="ListParagraph"/>
        <w:numPr>
          <w:ilvl w:val="0"/>
          <w:numId w:val="2"/>
        </w:numPr>
        <w:spacing w:after="60" w:line="280"/>
      </w:pPr>
      <w:r>
        <w:rPr>
          <w:b w:val="false"/>
          <w:bCs w:val="false"/>
          <w:sz w:val="21"/>
          <w:szCs w:val="21"/>
        </w:rPr>
        <w:t xml:space="preserve">Scalability Roadmap — how the system scales beyond prototype: infra, deployment, roadmap</w:t>
      </w:r>
    </w:p>
    <w:p>
      <w:pPr>
        <w:pStyle w:val="ListParagraph"/>
        <w:numPr>
          <w:ilvl w:val="0"/>
          <w:numId w:val="2"/>
        </w:numPr>
        <w:spacing w:after="60" w:line="280"/>
      </w:pPr>
      <w:r>
        <w:rPr>
          <w:b w:val="false"/>
          <w:bCs w:val="false"/>
          <w:sz w:val="21"/>
          <w:szCs w:val="21"/>
        </w:rPr>
        <w:t xml:space="preserve">Ethical Safeguards — bias mitigation, privacy protection, responsible-AI design</w:t>
      </w:r>
    </w:p>
    <w:p>
      <w:pPr>
        <w:pStyle w:val="Heading1"/>
        <w:pBdr>
          <w:bottom w:val="single" w:color="2E75B6" w:sz="6" w:space="6"/>
        </w:pBdr>
        <w:spacing w:after="160" w:before="200"/>
      </w:pPr>
      <w:r>
        <w:rPr>
          <w:b/>
          <w:bCs/>
          <w:color w:val="1F3864"/>
          <w:sz w:val="30"/>
          <w:szCs w:val="30"/>
        </w:rPr>
        <w:t xml:space="preserve">Phase 2 — Preliminary Submission Deadline</w:t>
      </w:r>
    </w:p>
    <w:p>
      <w:pPr>
        <w:spacing w:after="140"/>
      </w:pPr>
      <w:r>
        <w:rPr>
          <w:b/>
          <w:bCs/>
          <w:color w:val="1F3864"/>
          <w:sz w:val="22"/>
          <w:szCs w:val="22"/>
        </w:rPr>
        <w:t xml:space="preserve">October 31, 2026 — 12:00 PM BST</w:t>
      </w:r>
    </w:p>
    <w:p>
      <w:pPr>
        <w:spacing w:after="120" w:line="300"/>
      </w:pPr>
      <w:r>
        <w:rPr>
          <w:i w:val="false"/>
          <w:iCs w:val="false"/>
          <w:color w:val="1A1A1A"/>
          <w:sz w:val="21"/>
          <w:szCs w:val="21"/>
        </w:rPr>
        <w:t xml:space="preserve">This is the hard deadline. Every team must submit a 3-minute (180-second) structured video pitch — this is what determines whether your team advances to the Congress finals.</w:t>
      </w:r>
    </w:p>
    <w:p>
      <w:pPr>
        <w:spacing w:after="80" w:before="200"/>
      </w:pPr>
      <w:r>
        <w:rPr>
          <w:b/>
          <w:bCs/>
          <w:color w:val="1F3864"/>
          <w:sz w:val="21"/>
          <w:szCs w:val="21"/>
        </w:rPr>
        <w:t xml:space="preserve">Required video structure (Section 9.2)</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200"/>
        <w:gridCol w:w="5746"/>
      </w:tblGrid>
      <w:tr>
        <w:trPr>
          <w:tblHeader/>
        </w:trPr>
        <w:tc>
          <w:tcPr>
            <w:tcW w:type="dxa" w:w="1800"/>
            <w:shd w:fill="1F3864" w:val="clear"/>
            <w:tcMar>
              <w:top w:type="dxa" w:w="100"/>
              <w:left w:type="dxa" w:w="140"/>
              <w:bottom w:type="dxa" w:w="100"/>
              <w:right w:type="dxa" w:w="140"/>
            </w:tcMar>
            <w:vAlign w:val="center"/>
          </w:tcPr>
          <w:p>
            <w:r>
              <w:rPr>
                <w:b/>
                <w:bCs/>
                <w:color w:val="FFFFFF"/>
                <w:sz w:val="20"/>
                <w:szCs w:val="20"/>
              </w:rPr>
              <w:t xml:space="preserve">Time</w:t>
            </w:r>
          </w:p>
        </w:tc>
        <w:tc>
          <w:tcPr>
            <w:tcW w:type="dxa" w:w="2200"/>
            <w:shd w:fill="1F3864" w:val="clear"/>
            <w:tcMar>
              <w:top w:type="dxa" w:w="100"/>
              <w:left w:type="dxa" w:w="140"/>
              <w:bottom w:type="dxa" w:w="100"/>
              <w:right w:type="dxa" w:w="140"/>
            </w:tcMar>
            <w:vAlign w:val="center"/>
          </w:tcPr>
          <w:p>
            <w:r>
              <w:rPr>
                <w:b/>
                <w:bCs/>
                <w:color w:val="FFFFFF"/>
                <w:sz w:val="20"/>
                <w:szCs w:val="20"/>
              </w:rPr>
              <w:t xml:space="preserve">Segment</w:t>
            </w:r>
          </w:p>
        </w:tc>
        <w:tc>
          <w:tcPr>
            <w:tcW w:type="dxa" w:w="5746"/>
            <w:shd w:fill="1F3864" w:val="clear"/>
            <w:tcMar>
              <w:top w:type="dxa" w:w="100"/>
              <w:left w:type="dxa" w:w="140"/>
              <w:bottom w:type="dxa" w:w="100"/>
              <w:right w:type="dxa" w:w="140"/>
            </w:tcMar>
            <w:vAlign w:val="center"/>
          </w:tcPr>
          <w:p>
            <w:r>
              <w:rPr>
                <w:b/>
                <w:bCs/>
                <w:color w:val="FFFFFF"/>
                <w:sz w:val="20"/>
                <w:szCs w:val="20"/>
              </w:rPr>
              <w:t xml:space="preserve">What to Show</w:t>
            </w:r>
          </w:p>
        </w:tc>
      </w:tr>
      <w:tr>
        <w:tc>
          <w:tcPr>
            <w:tcW w:type="dxa" w:w="1800"/>
            <w:shd w:fill="F2F6FA" w:val="clear"/>
            <w:tcMar>
              <w:top w:type="dxa" w:w="100"/>
              <w:left w:type="dxa" w:w="140"/>
              <w:bottom w:type="dxa" w:w="100"/>
              <w:right w:type="dxa" w:w="140"/>
            </w:tcMar>
            <w:vAlign w:val="center"/>
          </w:tcPr>
          <w:p>
            <w:r>
              <w:rPr>
                <w:b w:val="false"/>
                <w:bCs w:val="false"/>
                <w:color w:val="000000"/>
                <w:sz w:val="20"/>
                <w:szCs w:val="20"/>
              </w:rPr>
              <w:t xml:space="preserve">0:00–0:30</w:t>
            </w:r>
          </w:p>
        </w:tc>
        <w:tc>
          <w:tcPr>
            <w:tcW w:type="dxa" w:w="2200"/>
            <w:shd w:fill="F2F6FA" w:val="clear"/>
            <w:tcMar>
              <w:top w:type="dxa" w:w="100"/>
              <w:left w:type="dxa" w:w="140"/>
              <w:bottom w:type="dxa" w:w="100"/>
              <w:right w:type="dxa" w:w="140"/>
            </w:tcMar>
            <w:vAlign w:val="center"/>
          </w:tcPr>
          <w:p>
            <w:r>
              <w:rPr>
                <w:b/>
                <w:bCs/>
                <w:color w:val="000000"/>
                <w:sz w:val="20"/>
                <w:szCs w:val="20"/>
              </w:rPr>
              <w:t xml:space="preserve">Problem</w:t>
            </w:r>
          </w:p>
        </w:tc>
        <w:tc>
          <w:tcPr>
            <w:tcW w:type="dxa" w:w="5746"/>
            <w:shd w:fill="F2F6FA" w:val="clear"/>
            <w:tcMar>
              <w:top w:type="dxa" w:w="100"/>
              <w:left w:type="dxa" w:w="140"/>
              <w:bottom w:type="dxa" w:w="100"/>
              <w:right w:type="dxa" w:w="140"/>
            </w:tcMar>
            <w:vAlign w:val="center"/>
          </w:tcPr>
          <w:p>
            <w:r>
              <w:rPr>
                <w:b w:val="false"/>
                <w:bCs w:val="false"/>
                <w:color w:val="000000"/>
                <w:sz w:val="20"/>
                <w:szCs w:val="20"/>
              </w:rPr>
              <w:t xml:space="preserve">Define the problem, users, and urgency (local + global context)</w:t>
            </w:r>
          </w:p>
        </w:tc>
      </w:tr>
      <w:tr>
        <w:tc>
          <w:tcPr>
            <w:tcW w:type="dxa" w:w="1800"/>
            <w:tcMar>
              <w:top w:type="dxa" w:w="100"/>
              <w:left w:type="dxa" w:w="140"/>
              <w:bottom w:type="dxa" w:w="100"/>
              <w:right w:type="dxa" w:w="140"/>
            </w:tcMar>
            <w:vAlign w:val="center"/>
          </w:tcPr>
          <w:p>
            <w:r>
              <w:rPr>
                <w:b w:val="false"/>
                <w:bCs w:val="false"/>
                <w:color w:val="000000"/>
                <w:sz w:val="20"/>
                <w:szCs w:val="20"/>
              </w:rPr>
              <w:t xml:space="preserve">0:30–1:00</w:t>
            </w:r>
          </w:p>
        </w:tc>
        <w:tc>
          <w:tcPr>
            <w:tcW w:type="dxa" w:w="2200"/>
            <w:tcMar>
              <w:top w:type="dxa" w:w="100"/>
              <w:left w:type="dxa" w:w="140"/>
              <w:bottom w:type="dxa" w:w="100"/>
              <w:right w:type="dxa" w:w="140"/>
            </w:tcMar>
            <w:vAlign w:val="center"/>
          </w:tcPr>
          <w:p>
            <w:r>
              <w:rPr>
                <w:b/>
                <w:bCs/>
                <w:color w:val="000000"/>
                <w:sz w:val="20"/>
                <w:szCs w:val="20"/>
              </w:rPr>
              <w:t xml:space="preserve">Solution</w:t>
            </w:r>
          </w:p>
        </w:tc>
        <w:tc>
          <w:tcPr>
            <w:tcW w:type="dxa" w:w="5746"/>
            <w:tcMar>
              <w:top w:type="dxa" w:w="100"/>
              <w:left w:type="dxa" w:w="140"/>
              <w:bottom w:type="dxa" w:w="100"/>
              <w:right w:type="dxa" w:w="140"/>
            </w:tcMar>
            <w:vAlign w:val="center"/>
          </w:tcPr>
          <w:p>
            <w:r>
              <w:rPr>
                <w:b w:val="false"/>
                <w:bCs w:val="false"/>
                <w:color w:val="000000"/>
                <w:sz w:val="20"/>
                <w:szCs w:val="20"/>
              </w:rPr>
              <w:t xml:space="preserve">Your AI-driven solution and its differentiation</w:t>
            </w:r>
          </w:p>
        </w:tc>
      </w:tr>
      <w:tr>
        <w:tc>
          <w:tcPr>
            <w:tcW w:type="dxa" w:w="1800"/>
            <w:shd w:fill="F2F6FA" w:val="clear"/>
            <w:tcMar>
              <w:top w:type="dxa" w:w="100"/>
              <w:left w:type="dxa" w:w="140"/>
              <w:bottom w:type="dxa" w:w="100"/>
              <w:right w:type="dxa" w:w="140"/>
            </w:tcMar>
            <w:vAlign w:val="center"/>
          </w:tcPr>
          <w:p>
            <w:r>
              <w:rPr>
                <w:b w:val="false"/>
                <w:bCs w:val="false"/>
                <w:color w:val="000000"/>
                <w:sz w:val="20"/>
                <w:szCs w:val="20"/>
              </w:rPr>
              <w:t xml:space="preserve">1:00–2:00</w:t>
            </w:r>
          </w:p>
        </w:tc>
        <w:tc>
          <w:tcPr>
            <w:tcW w:type="dxa" w:w="2200"/>
            <w:shd w:fill="F2F6FA" w:val="clear"/>
            <w:tcMar>
              <w:top w:type="dxa" w:w="100"/>
              <w:left w:type="dxa" w:w="140"/>
              <w:bottom w:type="dxa" w:w="100"/>
              <w:right w:type="dxa" w:w="140"/>
            </w:tcMar>
            <w:vAlign w:val="center"/>
          </w:tcPr>
          <w:p>
            <w:r>
              <w:rPr>
                <w:b/>
                <w:bCs/>
                <w:color w:val="000000"/>
                <w:sz w:val="20"/>
                <w:szCs w:val="20"/>
              </w:rPr>
              <w:t xml:space="preserve">Demo / Flow</w:t>
            </w:r>
          </w:p>
        </w:tc>
        <w:tc>
          <w:tcPr>
            <w:tcW w:type="dxa" w:w="5746"/>
            <w:shd w:fill="F2F6FA" w:val="clear"/>
            <w:tcMar>
              <w:top w:type="dxa" w:w="100"/>
              <w:left w:type="dxa" w:w="140"/>
              <w:bottom w:type="dxa" w:w="100"/>
              <w:right w:type="dxa" w:w="140"/>
            </w:tcMar>
            <w:vAlign w:val="center"/>
          </w:tcPr>
          <w:p>
            <w:r>
              <w:rPr>
                <w:b w:val="false"/>
                <w:bCs w:val="false"/>
                <w:color w:val="000000"/>
                <w:sz w:val="20"/>
                <w:szCs w:val="20"/>
              </w:rPr>
              <w:t xml:space="preserve">Early prototype, mock flow, or system walkthrough</w:t>
            </w:r>
          </w:p>
        </w:tc>
      </w:tr>
      <w:tr>
        <w:tc>
          <w:tcPr>
            <w:tcW w:type="dxa" w:w="1800"/>
            <w:tcMar>
              <w:top w:type="dxa" w:w="100"/>
              <w:left w:type="dxa" w:w="140"/>
              <w:bottom w:type="dxa" w:w="100"/>
              <w:right w:type="dxa" w:w="140"/>
            </w:tcMar>
            <w:vAlign w:val="center"/>
          </w:tcPr>
          <w:p>
            <w:r>
              <w:rPr>
                <w:b w:val="false"/>
                <w:bCs w:val="false"/>
                <w:color w:val="000000"/>
                <w:sz w:val="20"/>
                <w:szCs w:val="20"/>
              </w:rPr>
              <w:t xml:space="preserve">2:00–2:30</w:t>
            </w:r>
          </w:p>
        </w:tc>
        <w:tc>
          <w:tcPr>
            <w:tcW w:type="dxa" w:w="2200"/>
            <w:tcMar>
              <w:top w:type="dxa" w:w="100"/>
              <w:left w:type="dxa" w:w="140"/>
              <w:bottom w:type="dxa" w:w="100"/>
              <w:right w:type="dxa" w:w="140"/>
            </w:tcMar>
            <w:vAlign w:val="center"/>
          </w:tcPr>
          <w:p>
            <w:r>
              <w:rPr>
                <w:b/>
                <w:bCs/>
                <w:color w:val="000000"/>
                <w:sz w:val="20"/>
                <w:szCs w:val="20"/>
              </w:rPr>
              <w:t xml:space="preserve">AI Approach</w:t>
            </w:r>
          </w:p>
        </w:tc>
        <w:tc>
          <w:tcPr>
            <w:tcW w:type="dxa" w:w="5746"/>
            <w:tcMar>
              <w:top w:type="dxa" w:w="100"/>
              <w:left w:type="dxa" w:w="140"/>
              <w:bottom w:type="dxa" w:w="100"/>
              <w:right w:type="dxa" w:w="140"/>
            </w:tcMar>
            <w:vAlign w:val="center"/>
          </w:tcPr>
          <w:p>
            <w:r>
              <w:rPr>
                <w:b w:val="false"/>
                <w:bCs w:val="false"/>
                <w:color w:val="000000"/>
                <w:sz w:val="20"/>
                <w:szCs w:val="20"/>
              </w:rPr>
              <w:t xml:space="preserve">Models, RAG, data, personalization, tools</w:t>
            </w:r>
          </w:p>
        </w:tc>
      </w:tr>
      <w:tr>
        <w:tc>
          <w:tcPr>
            <w:tcW w:type="dxa" w:w="1800"/>
            <w:shd w:fill="F2F6FA" w:val="clear"/>
            <w:tcMar>
              <w:top w:type="dxa" w:w="100"/>
              <w:left w:type="dxa" w:w="140"/>
              <w:bottom w:type="dxa" w:w="100"/>
              <w:right w:type="dxa" w:w="140"/>
            </w:tcMar>
            <w:vAlign w:val="center"/>
          </w:tcPr>
          <w:p>
            <w:r>
              <w:rPr>
                <w:b w:val="false"/>
                <w:bCs w:val="false"/>
                <w:color w:val="000000"/>
                <w:sz w:val="20"/>
                <w:szCs w:val="20"/>
              </w:rPr>
              <w:t xml:space="preserve">2:30–3:00</w:t>
            </w:r>
          </w:p>
        </w:tc>
        <w:tc>
          <w:tcPr>
            <w:tcW w:type="dxa" w:w="2200"/>
            <w:shd w:fill="F2F6FA" w:val="clear"/>
            <w:tcMar>
              <w:top w:type="dxa" w:w="100"/>
              <w:left w:type="dxa" w:w="140"/>
              <w:bottom w:type="dxa" w:w="100"/>
              <w:right w:type="dxa" w:w="140"/>
            </w:tcMar>
            <w:vAlign w:val="center"/>
          </w:tcPr>
          <w:p>
            <w:r>
              <w:rPr>
                <w:b/>
                <w:bCs/>
                <w:color w:val="000000"/>
                <w:sz w:val="20"/>
                <w:szCs w:val="20"/>
              </w:rPr>
              <w:t xml:space="preserve">Impact &amp; Next Step</w:t>
            </w:r>
          </w:p>
        </w:tc>
        <w:tc>
          <w:tcPr>
            <w:tcW w:type="dxa" w:w="5746"/>
            <w:shd w:fill="F2F6FA" w:val="clear"/>
            <w:tcMar>
              <w:top w:type="dxa" w:w="100"/>
              <w:left w:type="dxa" w:w="140"/>
              <w:bottom w:type="dxa" w:w="100"/>
              <w:right w:type="dxa" w:w="140"/>
            </w:tcMar>
            <w:vAlign w:val="center"/>
          </w:tcPr>
          <w:p>
            <w:r>
              <w:rPr>
                <w:b w:val="false"/>
                <w:bCs w:val="false"/>
                <w:color w:val="000000"/>
                <w:sz w:val="20"/>
                <w:szCs w:val="20"/>
              </w:rPr>
              <w:t xml:space="preserve">Value, potential users, and what comes next</w:t>
            </w:r>
          </w:p>
        </w:tc>
      </w:tr>
    </w:tbl>
    <w:p>
      <w:pPr>
        <w:spacing w:after="160"/>
      </w:pPr>
    </w:p>
    <w:p>
      <w:pPr>
        <w:spacing w:after="80" w:before="200"/>
      </w:pPr>
      <w:r>
        <w:rPr>
          <w:b/>
          <w:bCs/>
          <w:color w:val="1F3864"/>
          <w:sz w:val="21"/>
          <w:szCs w:val="21"/>
        </w:rPr>
        <w:t xml:space="preserve">Mandatory requirements checklist</w:t>
      </w:r>
    </w:p>
    <w:p>
      <w:pPr>
        <w:pStyle w:val="ListParagraph"/>
        <w:numPr>
          <w:ilvl w:val="0"/>
          <w:numId w:val="2"/>
        </w:numPr>
        <w:spacing w:after="60" w:line="280"/>
      </w:pPr>
      <w:r>
        <w:rPr>
          <w:b w:val="false"/>
          <w:bCs w:val="false"/>
          <w:sz w:val="21"/>
          <w:szCs w:val="21"/>
        </w:rPr>
        <w:t xml:space="preserve">A 3-minute structured video pitch</w:t>
      </w:r>
    </w:p>
    <w:p>
      <w:pPr>
        <w:pStyle w:val="ListParagraph"/>
        <w:numPr>
          <w:ilvl w:val="0"/>
          <w:numId w:val="2"/>
        </w:numPr>
        <w:spacing w:after="60" w:line="280"/>
      </w:pPr>
      <w:r>
        <w:rPr>
          <w:b w:val="false"/>
          <w:bCs w:val="false"/>
          <w:sz w:val="21"/>
          <w:szCs w:val="21"/>
        </w:rPr>
        <w:t xml:space="preserve">Clear problem and user definition</w:t>
      </w:r>
    </w:p>
    <w:p>
      <w:pPr>
        <w:pStyle w:val="ListParagraph"/>
        <w:numPr>
          <w:ilvl w:val="0"/>
          <w:numId w:val="2"/>
        </w:numPr>
        <w:spacing w:after="60" w:line="280"/>
      </w:pPr>
      <w:r>
        <w:rPr>
          <w:b w:val="false"/>
          <w:bCs w:val="false"/>
          <w:sz w:val="21"/>
          <w:szCs w:val="21"/>
        </w:rPr>
        <w:t xml:space="preserve">An AI-native approach (LLM / RAG / Graph / ML)</w:t>
      </w:r>
    </w:p>
    <w:p>
      <w:pPr>
        <w:pStyle w:val="ListParagraph"/>
        <w:numPr>
          <w:ilvl w:val="0"/>
          <w:numId w:val="2"/>
        </w:numPr>
        <w:spacing w:after="60" w:line="280"/>
      </w:pPr>
      <w:r>
        <w:rPr>
          <w:b w:val="false"/>
          <w:bCs w:val="false"/>
          <w:sz w:val="21"/>
          <w:szCs w:val="21"/>
        </w:rPr>
        <w:t xml:space="preserve">Basic system flow (input → AI → output)</w:t>
      </w:r>
    </w:p>
    <w:p>
      <w:pPr>
        <w:pStyle w:val="ListParagraph"/>
        <w:numPr>
          <w:ilvl w:val="0"/>
          <w:numId w:val="2"/>
        </w:numPr>
        <w:spacing w:after="60" w:line="280"/>
      </w:pPr>
      <w:r>
        <w:rPr>
          <w:b w:val="false"/>
          <w:bCs w:val="false"/>
          <w:sz w:val="21"/>
          <w:szCs w:val="21"/>
        </w:rPr>
        <w:t xml:space="preserve">An initial demo, prototype, or workflow (early-stage acceptable)</w:t>
      </w:r>
    </w:p>
    <w:p>
      <w:pPr>
        <w:pStyle w:val="ListParagraph"/>
        <w:numPr>
          <w:ilvl w:val="0"/>
          <w:numId w:val="2"/>
        </w:numPr>
        <w:spacing w:after="60" w:line="280"/>
      </w:pPr>
      <w:r>
        <w:rPr>
          <w:b w:val="false"/>
          <w:bCs w:val="false"/>
          <w:sz w:val="21"/>
          <w:szCs w:val="21"/>
        </w:rPr>
        <w:t xml:space="preserve">Consideration for Bangla / localization</w:t>
      </w:r>
    </w:p>
    <w:p>
      <w:pPr>
        <w:pStyle w:val="ListParagraph"/>
        <w:numPr>
          <w:ilvl w:val="0"/>
          <w:numId w:val="2"/>
        </w:numPr>
        <w:spacing w:after="60" w:line="280"/>
      </w:pPr>
      <w:r>
        <w:rPr>
          <w:b w:val="false"/>
          <w:bCs w:val="false"/>
          <w:sz w:val="21"/>
          <w:szCs w:val="21"/>
        </w:rPr>
        <w:t xml:space="preserve">Defined potential impact (KPIs or expected outcomes)</w:t>
      </w:r>
    </w:p>
    <w:p>
      <w:pPr>
        <w:spacing w:after="80" w:before="200"/>
      </w:pPr>
      <w:r>
        <w:rPr>
          <w:b/>
          <w:bCs/>
          <w:color w:val="1F3864"/>
          <w:sz w:val="21"/>
          <w:szCs w:val="21"/>
        </w:rPr>
        <w:t xml:space="preserve">Common mistakes to avoid</w:t>
      </w:r>
    </w:p>
    <w:p>
      <w:pPr>
        <w:pStyle w:val="ListParagraph"/>
        <w:numPr>
          <w:ilvl w:val="0"/>
          <w:numId w:val="2"/>
        </w:numPr>
        <w:spacing w:after="60" w:line="280"/>
      </w:pPr>
      <w:r>
        <w:rPr>
          <w:b w:val="false"/>
          <w:bCs w:val="false"/>
          <w:sz w:val="21"/>
          <w:szCs w:val="21"/>
        </w:rPr>
        <w:t xml:space="preserve">Submitting only an idea with no system thinking</w:t>
      </w:r>
    </w:p>
    <w:p>
      <w:pPr>
        <w:pStyle w:val="ListParagraph"/>
        <w:numPr>
          <w:ilvl w:val="0"/>
          <w:numId w:val="2"/>
        </w:numPr>
        <w:spacing w:after="60" w:line="280"/>
      </w:pPr>
      <w:r>
        <w:rPr>
          <w:b w:val="false"/>
          <w:bCs w:val="false"/>
          <w:sz w:val="21"/>
          <w:szCs w:val="21"/>
        </w:rPr>
        <w:t xml:space="preserve">No clear AI explanation</w:t>
      </w:r>
    </w:p>
    <w:p>
      <w:pPr>
        <w:pStyle w:val="ListParagraph"/>
        <w:numPr>
          <w:ilvl w:val="0"/>
          <w:numId w:val="2"/>
        </w:numPr>
        <w:spacing w:after="60" w:line="280"/>
      </w:pPr>
      <w:r>
        <w:rPr>
          <w:b w:val="false"/>
          <w:bCs w:val="false"/>
          <w:sz w:val="21"/>
          <w:szCs w:val="21"/>
        </w:rPr>
        <w:t xml:space="preserve">Overcomplicating instead of focusing on one core use case</w:t>
      </w:r>
    </w:p>
    <w:p>
      <w:pPr>
        <w:pStyle w:val="ListParagraph"/>
        <w:numPr>
          <w:ilvl w:val="0"/>
          <w:numId w:val="2"/>
        </w:numPr>
        <w:spacing w:after="60" w:line="280"/>
      </w:pPr>
      <w:r>
        <w:rPr>
          <w:b w:val="false"/>
          <w:bCs w:val="false"/>
          <w:sz w:val="21"/>
          <w:szCs w:val="21"/>
        </w:rPr>
        <w:t xml:space="preserve">No demo or workflow visualization</w:t>
      </w:r>
    </w:p>
    <w:p>
      <w:pPr>
        <w:pStyle w:val="ListParagraph"/>
        <w:numPr>
          <w:ilvl w:val="0"/>
          <w:numId w:val="2"/>
        </w:numPr>
        <w:spacing w:after="60" w:line="280"/>
      </w:pPr>
      <w:r>
        <w:rPr>
          <w:b w:val="false"/>
          <w:bCs w:val="false"/>
          <w:sz w:val="21"/>
          <w:szCs w:val="21"/>
        </w:rPr>
        <w:t xml:space="preserve">Ignoring real users or real problems</w:t>
      </w:r>
    </w:p>
    <w:tbl>
      <w:tblPr>
        <w:tblW w:type="dxa" w:w="9746"/>
        <w:tblBorders>
          <w:top w:val="single" w:color="2E75B6" w:sz="8"/>
          <w:left w:val="single" w:color="2E75B6" w:sz="8"/>
          <w:bottom w:val="single" w:color="2E75B6" w:sz="8"/>
          <w:right w:val="single" w:color="2E75B6" w:sz="8"/>
          <w:insideH w:val="none" w:color="FFFFFF" w:sz="0"/>
          <w:insideV w:val="none" w:color="FFFFFF" w:sz="0"/>
        </w:tblBorders>
      </w:tblPr>
      <w:tblGrid>
        <w:gridCol w:w="9746"/>
      </w:tblGrid>
      <w:tr>
        <w:tc>
          <w:tcPr>
            <w:tcW w:type="dxa" w:w="9746"/>
            <w:shd w:fill="F2F6FA" w:val="clear"/>
            <w:tcMar>
              <w:top w:type="dxa" w:w="160"/>
              <w:left w:type="dxa" w:w="200"/>
              <w:bottom w:type="dxa" w:w="160"/>
              <w:right w:type="dxa" w:w="200"/>
            </w:tcMar>
          </w:tcPr>
          <w:p>
            <w:r>
              <w:rPr>
                <w:i/>
                <w:iCs/>
                <w:color w:val="1F3864"/>
                <w:sz w:val="20"/>
                <w:szCs w:val="20"/>
              </w:rPr>
              <w:t xml:space="preserve">Reminder from the Guide: you're not judged on completion — you're judged on your ability to execute. Keep it clear, real, and buildable.</w:t>
            </w:r>
          </w:p>
        </w:tc>
      </w:tr>
    </w:tbl>
    <w:p>
      <w:pPr>
        <w:pStyle w:val="Heading1"/>
        <w:pBdr>
          <w:bottom w:val="single" w:color="2E75B6" w:sz="6" w:space="6"/>
        </w:pBdr>
        <w:spacing w:after="160" w:before="200"/>
      </w:pPr>
      <w:r>
        <w:rPr>
          <w:b/>
          <w:bCs/>
          <w:color w:val="1F3864"/>
          <w:sz w:val="30"/>
          <w:szCs w:val="30"/>
        </w:rPr>
        <w:t xml:space="preserve">Phase 3 — Preliminary Selection Announcement</w:t>
      </w:r>
    </w:p>
    <w:p>
      <w:pPr>
        <w:spacing w:after="140"/>
      </w:pPr>
      <w:r>
        <w:rPr>
          <w:b/>
          <w:bCs/>
          <w:color w:val="1F3864"/>
          <w:sz w:val="22"/>
          <w:szCs w:val="22"/>
        </w:rPr>
        <w:t xml:space="preserve">November 15, 2026</w:t>
      </w:r>
    </w:p>
    <w:p>
      <w:pPr>
        <w:spacing w:after="0" w:line="300"/>
      </w:pPr>
      <w:r>
        <w:rPr>
          <w:i w:val="false"/>
          <w:iCs w:val="false"/>
          <w:color w:val="1A1A1A"/>
          <w:sz w:val="21"/>
          <w:szCs w:val="21"/>
        </w:rPr>
        <w:t xml:space="preserve">CloudCamp Bangladesh / MillionX Bangladesh announce which teams are selected as finalists based on the preliminary submissions. There is nothing for you to submit on this date — it's purely a results/notification milestone. If your team is selected, you move into Phase 4 (Selection &amp; Hardening) to productionize the build ahead of Congress Day.</w:t>
      </w:r>
    </w:p>
    <w:p>
      <w:pPr>
        <w:pStyle w:val="Heading1"/>
        <w:pBdr>
          <w:bottom w:val="single" w:color="2E75B6" w:sz="6" w:space="6"/>
        </w:pBdr>
        <w:spacing w:after="160" w:before="200"/>
      </w:pPr>
      <w:r>
        <w:rPr>
          <w:b/>
          <w:bCs/>
          <w:color w:val="1F3864"/>
          <w:sz w:val="30"/>
          <w:szCs w:val="30"/>
        </w:rPr>
        <w:t xml:space="preserve">If Selected: The Final Phase Ahead</w:t>
      </w:r>
    </w:p>
    <w:p>
      <w:pPr>
        <w:spacing w:after="140"/>
      </w:pPr>
      <w:r>
        <w:rPr>
          <w:b/>
          <w:bCs/>
          <w:color w:val="1F3864"/>
          <w:sz w:val="22"/>
          <w:szCs w:val="22"/>
        </w:rPr>
        <w:t xml:space="preserve">Congress Day Final — December 26, 2026</w:t>
      </w:r>
    </w:p>
    <w:p>
      <w:pPr>
        <w:spacing w:after="120" w:line="300"/>
      </w:pPr>
      <w:r>
        <w:rPr>
          <w:i w:val="false"/>
          <w:iCs w:val="false"/>
          <w:color w:val="1A1A1A"/>
          <w:sz w:val="21"/>
          <w:szCs w:val="21"/>
        </w:rPr>
        <w:t xml:space="preserve">Not one of the three preliminary dates above, but worth having on your radar: if your team advances, you'll present live at Daffodil International University (Ashulia Campus, Dhaka).</w:t>
      </w:r>
    </w:p>
    <w:p>
      <w:pPr>
        <w:pStyle w:val="ListParagraph"/>
        <w:numPr>
          <w:ilvl w:val="0"/>
          <w:numId w:val="2"/>
        </w:numPr>
        <w:spacing w:after="60" w:line="280"/>
      </w:pPr>
      <w:r>
        <w:rPr>
          <w:b w:val="false"/>
          <w:bCs w:val="false"/>
          <w:sz w:val="21"/>
          <w:szCs w:val="21"/>
        </w:rPr>
        <w:t xml:space="preserve">Format: 5 minutes per team — 1 minute transition + 3 minutes pitch + 1 minute scoring</w:t>
      </w:r>
    </w:p>
    <w:p>
      <w:pPr>
        <w:pStyle w:val="ListParagraph"/>
        <w:numPr>
          <w:ilvl w:val="0"/>
          <w:numId w:val="2"/>
        </w:numPr>
        <w:spacing w:after="60" w:line="280"/>
      </w:pPr>
      <w:r>
        <w:rPr>
          <w:b w:val="false"/>
          <w:bCs w:val="false"/>
          <w:sz w:val="21"/>
          <w:szCs w:val="21"/>
        </w:rPr>
        <w:t xml:space="preserve">Structure: problem → solution → demo → AI → impact, followed by judge questions</w:t>
      </w:r>
    </w:p>
    <w:p>
      <w:pPr>
        <w:pStyle w:val="ListParagraph"/>
        <w:numPr>
          <w:ilvl w:val="0"/>
          <w:numId w:val="2"/>
        </w:numPr>
        <w:spacing w:after="60" w:line="280"/>
      </w:pPr>
      <w:r>
        <w:rPr>
          <w:b w:val="false"/>
          <w:bCs w:val="false"/>
          <w:sz w:val="21"/>
          <w:szCs w:val="21"/>
        </w:rPr>
        <w:t xml:space="preserve">Evaluated on: Innovation, AI Implementation, Technical Execution, User Experience, Business Viability, Impact &amp; Scalability</w:t>
      </w:r>
    </w:p>
    <w:p>
      <w:pPr>
        <w:pBdr>
          <w:top w:val="single" w:color="BFBFBF" w:sz="4" w:space="8"/>
        </w:pBdr>
        <w:spacing w:before="300"/>
      </w:pPr>
      <w:r>
        <w:rPr>
          <w:i/>
          <w:iCs/>
          <w:color w:val="595959"/>
          <w:sz w:val="17"/>
          <w:szCs w:val="17"/>
        </w:rPr>
        <w:t xml:space="preserve">Source: AI Builders Congress 2026 — Participants Guide, Sections 3 and 9.1–9.3.</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2026-09-01T18:14:24.651Z</dcterms:created>
  <dcterms:modified xsi:type="dcterms:W3CDTF">2026-09-01T18:14:24.666Z</dcterms:modified>
</cp:coreProperties>
</file>

<file path=docProps/custom.xml><?xml version="1.0" encoding="utf-8"?>
<Properties xmlns="http://schemas.openxmlformats.org/officeDocument/2006/custom-properties" xmlns:vt="http://schemas.openxmlformats.org/officeDocument/2006/docPropsVTypes"/>
</file>